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261" w:rsidRDefault="002C5261" w:rsidP="002C5261">
      <w:pPr>
        <w:pStyle w:val="Titre"/>
        <w:rPr>
          <w:sz w:val="24"/>
        </w:rPr>
      </w:pPr>
      <w:r>
        <w:rPr>
          <w:sz w:val="24"/>
        </w:rPr>
        <w:t xml:space="preserve">         Société Nationale d’Electricité et de Thermique </w:t>
      </w:r>
    </w:p>
    <w:p w:rsidR="002C5261" w:rsidRDefault="002C5261" w:rsidP="002C5261">
      <w:pPr>
        <w:jc w:val="center"/>
        <w:rPr>
          <w:b/>
          <w:bCs/>
          <w:sz w:val="28"/>
        </w:rPr>
      </w:pPr>
      <w:r>
        <w:pict>
          <v:line id="_x0000_s1026" style="position:absolute;left:0;text-align:left;z-index:251660288" from="194.15pt,6.65pt" to="275.15pt,6.65pt">
            <w10:wrap anchorx="page"/>
          </v:line>
        </w:pict>
      </w:r>
      <w:r>
        <w:rPr>
          <w:b/>
          <w:bCs/>
          <w:sz w:val="28"/>
        </w:rPr>
        <w:t xml:space="preserve"> </w:t>
      </w:r>
    </w:p>
    <w:p w:rsidR="002C5261" w:rsidRDefault="002C5261" w:rsidP="002C5261">
      <w:pPr>
        <w:jc w:val="center"/>
        <w:rPr>
          <w:b/>
          <w:bCs/>
          <w:sz w:val="28"/>
        </w:rPr>
      </w:pPr>
      <w:r>
        <w:rPr>
          <w:b/>
          <w:bCs/>
          <w:sz w:val="28"/>
        </w:rPr>
        <w:t xml:space="preserve">Conseil d’Administration </w:t>
      </w:r>
    </w:p>
    <w:p w:rsidR="002C5261" w:rsidRDefault="002C5261" w:rsidP="002C5261">
      <w:pPr>
        <w:jc w:val="center"/>
        <w:rPr>
          <w:b/>
          <w:bCs/>
          <w:sz w:val="28"/>
        </w:rPr>
      </w:pPr>
      <w:r>
        <w:rPr>
          <w:b/>
          <w:bCs/>
          <w:sz w:val="28"/>
        </w:rPr>
        <w:t xml:space="preserve">du 26 janvier 2009 </w:t>
      </w:r>
    </w:p>
    <w:p w:rsidR="002C5261" w:rsidRDefault="002C5261" w:rsidP="002C5261">
      <w:pPr>
        <w:jc w:val="center"/>
        <w:rPr>
          <w:b/>
          <w:bCs/>
          <w:sz w:val="28"/>
        </w:rPr>
      </w:pPr>
    </w:p>
    <w:tbl>
      <w:tblPr>
        <w:tblStyle w:val="Grilledutableau"/>
        <w:tblW w:w="0" w:type="auto"/>
        <w:tblLook w:val="04A0"/>
      </w:tblPr>
      <w:tblGrid>
        <w:gridCol w:w="9212"/>
      </w:tblGrid>
      <w:tr w:rsidR="002C5261" w:rsidTr="002C5261">
        <w:tc>
          <w:tcPr>
            <w:tcW w:w="9212" w:type="dxa"/>
          </w:tcPr>
          <w:p w:rsidR="002C5261" w:rsidRDefault="002C5261" w:rsidP="002C5261"/>
          <w:p w:rsidR="002C5261" w:rsidRPr="002C5261" w:rsidRDefault="002C5261" w:rsidP="002C5261">
            <w:pPr>
              <w:jc w:val="center"/>
              <w:rPr>
                <w:b/>
              </w:rPr>
            </w:pPr>
            <w:r w:rsidRPr="002C5261">
              <w:rPr>
                <w:b/>
              </w:rPr>
              <w:t>ARBITRAGE ENTRE LA SNET ET LE TRESOR POLONAIS RELATIF AUX INVESTISSEMENTS REALISES DANS BIALYSTOK</w:t>
            </w:r>
          </w:p>
        </w:tc>
      </w:tr>
    </w:tbl>
    <w:p w:rsidR="007911E8" w:rsidRDefault="007911E8"/>
    <w:p w:rsidR="002C5261" w:rsidRDefault="002C5261"/>
    <w:p w:rsidR="002C5261" w:rsidRDefault="002C5261"/>
    <w:p w:rsidR="002C5261" w:rsidRDefault="002C5261"/>
    <w:p w:rsidR="002C5261" w:rsidRDefault="002C5261" w:rsidP="002C5261">
      <w:pPr>
        <w:jc w:val="both"/>
      </w:pPr>
      <w:r>
        <w:t xml:space="preserve">En date du 15 février 2001, la Société se portait acquéreur de 69,58 % de la société </w:t>
      </w:r>
      <w:proofErr w:type="spellStart"/>
      <w:r>
        <w:t>Elektrocieplownia</w:t>
      </w:r>
      <w:proofErr w:type="spellEnd"/>
      <w:r>
        <w:t xml:space="preserve"> Bialystok S.A (Bialystok) auprès du Trésor Polonais.</w:t>
      </w:r>
    </w:p>
    <w:p w:rsidR="002C5261" w:rsidRDefault="002C5261" w:rsidP="002C5261">
      <w:pPr>
        <w:jc w:val="both"/>
      </w:pPr>
      <w:r>
        <w:t>Le contrat d’achat et son avenant en date du 15 février 2006, prévoyait l’obligation de réaliser des investissements à hauteur de 55 M€ principalement dans les actifs de Bialystok dans un délai de 66 mois à compter de la date de conclusion de l’accord. Il était convenu que la non-réalisation de cet engagement conduirait au paiement par SNET d’un montant équivalent à la différence entre 55 M€  et les investissements effectivement réalisés.</w:t>
      </w:r>
      <w:r w:rsidR="002379FA">
        <w:t xml:space="preserve"> </w:t>
      </w:r>
    </w:p>
    <w:p w:rsidR="002C5261" w:rsidRDefault="002C5261" w:rsidP="002C5261">
      <w:pPr>
        <w:jc w:val="both"/>
      </w:pPr>
    </w:p>
    <w:p w:rsidR="002379FA" w:rsidRDefault="002C5261" w:rsidP="002C5261">
      <w:pPr>
        <w:jc w:val="both"/>
      </w:pPr>
      <w:r>
        <w:t xml:space="preserve">A l’issue de la période </w:t>
      </w:r>
      <w:r w:rsidR="002379FA">
        <w:t>définie contractuellement, les parties ont fait réaliser des audits par des cabinets externes qui sont arrivés à des conclusions très différentes : SNET concluant avoir réaliser l’ensemble des investissements et le Trésor Polonais concluant à une non réalisation des investissements à hauteur de 24,3 M€.</w:t>
      </w:r>
    </w:p>
    <w:p w:rsidR="002379FA" w:rsidRDefault="002379FA" w:rsidP="002C5261">
      <w:pPr>
        <w:jc w:val="both"/>
      </w:pPr>
      <w:r>
        <w:t>Néanmoins, la SNET a décidé fin 2006 de provisionner le montant de 24,3 M€.</w:t>
      </w:r>
    </w:p>
    <w:p w:rsidR="002379FA" w:rsidRDefault="002379FA" w:rsidP="002C5261">
      <w:pPr>
        <w:jc w:val="both"/>
      </w:pPr>
    </w:p>
    <w:p w:rsidR="0075421D" w:rsidRDefault="002379FA" w:rsidP="002C5261">
      <w:pPr>
        <w:jc w:val="both"/>
      </w:pPr>
      <w:r>
        <w:t>Le Trésor Polonais, en avril 2009, a lancé une procédure d’arbitrage qui conformément au contrat d’achat devait se tenir devant la Cour d’Arbitrage du Tribunal de Commerce de Varsovie</w:t>
      </w:r>
      <w:r w:rsidR="0075421D">
        <w:t xml:space="preserve"> et réclame les 24,3 M€ à la Société selon une interprétation du contrat qui lui conférait une garantie de paiement à hauteur de ce montant.</w:t>
      </w:r>
    </w:p>
    <w:p w:rsidR="0075421D" w:rsidRDefault="0075421D" w:rsidP="002C5261">
      <w:pPr>
        <w:jc w:val="both"/>
      </w:pPr>
    </w:p>
    <w:p w:rsidR="0075421D" w:rsidRDefault="0075421D" w:rsidP="002C5261">
      <w:pPr>
        <w:jc w:val="both"/>
      </w:pPr>
      <w:r>
        <w:t>La Société a contesté cet argument en indiquant qu’à la date butoir du contrat d’achat le montant des investissements non réalisés n’étaient pas au niveau des réclamations du Trésor Polonais et ne tenait pas compte des investissements en capital.</w:t>
      </w:r>
    </w:p>
    <w:p w:rsidR="0075421D" w:rsidRDefault="0075421D" w:rsidP="002C5261">
      <w:pPr>
        <w:jc w:val="both"/>
      </w:pPr>
      <w:r>
        <w:t>Elle a également contesté l’existence d’un préjudice pour le trésor polonais dans la mesure où au jour de l’assignation, la Société avait réalisé environ 90 M€ d’investissements dans Bialystok et que ces investissements avaient été conduits selon des principes de bonne gestion et dans l’intérêt de Bialystok.</w:t>
      </w:r>
    </w:p>
    <w:p w:rsidR="00256C06" w:rsidRDefault="0075421D" w:rsidP="0075421D">
      <w:pPr>
        <w:jc w:val="both"/>
      </w:pPr>
      <w:r>
        <w:t xml:space="preserve">Enfin, la qualification de la nature de l’obligation a été lourdement contestée au motif que cette clause devait s’interpréter comme une clause pénale et que compte tenu </w:t>
      </w:r>
      <w:r w:rsidR="00256C06">
        <w:t>que la totalité des engagements de la Société étaient largement remplis à la date de l’assignation, celle-ci devait être révisée.</w:t>
      </w:r>
      <w:r>
        <w:t xml:space="preserve"> </w:t>
      </w:r>
      <w:r w:rsidR="00256C06">
        <w:t>Les intérêts du</w:t>
      </w:r>
      <w:r>
        <w:t xml:space="preserve"> Trésor Polonais</w:t>
      </w:r>
      <w:r w:rsidR="00256C06">
        <w:t xml:space="preserve"> n’ont par conséquent pas été atteints.</w:t>
      </w:r>
    </w:p>
    <w:p w:rsidR="00256C06" w:rsidRDefault="00256C06" w:rsidP="0075421D">
      <w:pPr>
        <w:jc w:val="both"/>
      </w:pPr>
    </w:p>
    <w:p w:rsidR="00256C06" w:rsidRDefault="00256C06" w:rsidP="0075421D">
      <w:pPr>
        <w:jc w:val="both"/>
      </w:pPr>
      <w:r>
        <w:t>La décision du tribunal arbitral rejette l’ensemble des arguments en démontrant un par un leur incapacité à justifier l’exécution de ses engagements par la Société et condamne cette dernière au paiement de 24,3 M€ augmenté des intérêts de retard pour un montant de l’ordre de 6 M€.</w:t>
      </w:r>
    </w:p>
    <w:p w:rsidR="00256C06" w:rsidRDefault="00256C06" w:rsidP="0075421D">
      <w:pPr>
        <w:jc w:val="both"/>
      </w:pPr>
    </w:p>
    <w:p w:rsidR="00256C06" w:rsidRDefault="00256C06" w:rsidP="0075421D">
      <w:pPr>
        <w:jc w:val="both"/>
      </w:pPr>
      <w:r>
        <w:t>Cette sentence est définitive, seul un recours en annulation est possible devant les tribunaux de droit commun (équivalent de la Cour de Cassation) mais cela suppose l’existence d’un vice de forme dans la procédure ou d’une atteinte grave à l’ordre juridique polonais.</w:t>
      </w:r>
    </w:p>
    <w:p w:rsidR="00256C06" w:rsidRDefault="00256C06" w:rsidP="0075421D">
      <w:pPr>
        <w:jc w:val="both"/>
      </w:pPr>
      <w:r>
        <w:t>Il est à noter que les intérêts de retard courent sans interruption et continueront de courir pendant la procédure devant les tribunaux de droit commun.</w:t>
      </w:r>
    </w:p>
    <w:p w:rsidR="00256C06" w:rsidRDefault="00256C06" w:rsidP="0075421D">
      <w:pPr>
        <w:jc w:val="both"/>
      </w:pPr>
    </w:p>
    <w:p w:rsidR="00256C06" w:rsidRDefault="00256C06" w:rsidP="0075421D">
      <w:pPr>
        <w:jc w:val="both"/>
      </w:pPr>
      <w:r>
        <w:t>Il est donc envisag</w:t>
      </w:r>
      <w:r w:rsidR="00732F63">
        <w:t>é</w:t>
      </w:r>
      <w:r>
        <w:t xml:space="preserve"> de se rapprocher du Trésor Polonais pour effectuer le paiement et de</w:t>
      </w:r>
      <w:r w:rsidR="00732F63">
        <w:t xml:space="preserve"> rechercher des pistes de recours, notamment au niveau européen.</w:t>
      </w:r>
      <w:r>
        <w:t xml:space="preserve">     </w:t>
      </w:r>
    </w:p>
    <w:p w:rsidR="002C5261" w:rsidRDefault="00256C06" w:rsidP="0075421D">
      <w:pPr>
        <w:jc w:val="both"/>
      </w:pPr>
      <w:r>
        <w:t xml:space="preserve">   </w:t>
      </w:r>
    </w:p>
    <w:p w:rsidR="0075421D" w:rsidRDefault="0075421D" w:rsidP="0075421D">
      <w:pPr>
        <w:jc w:val="both"/>
      </w:pPr>
    </w:p>
    <w:sectPr w:rsidR="0075421D" w:rsidSect="007911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defaultTabStop w:val="708"/>
  <w:hyphenationZone w:val="425"/>
  <w:characterSpacingControl w:val="doNotCompress"/>
  <w:compat/>
  <w:rsids>
    <w:rsidRoot w:val="002C5261"/>
    <w:rsid w:val="002379FA"/>
    <w:rsid w:val="00256C06"/>
    <w:rsid w:val="002C5261"/>
    <w:rsid w:val="00732F63"/>
    <w:rsid w:val="0075421D"/>
    <w:rsid w:val="007911E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6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2C5261"/>
    <w:pPr>
      <w:jc w:val="center"/>
    </w:pPr>
    <w:rPr>
      <w:b/>
      <w:bCs/>
      <w:sz w:val="22"/>
    </w:rPr>
  </w:style>
  <w:style w:type="character" w:customStyle="1" w:styleId="TitreCar">
    <w:name w:val="Titre Car"/>
    <w:basedOn w:val="Policepardfaut"/>
    <w:link w:val="Titre"/>
    <w:rsid w:val="002C5261"/>
    <w:rPr>
      <w:rFonts w:ascii="Times New Roman" w:eastAsia="Times New Roman" w:hAnsi="Times New Roman" w:cs="Times New Roman"/>
      <w:b/>
      <w:bCs/>
      <w:szCs w:val="20"/>
      <w:lang w:eastAsia="fr-FR"/>
    </w:rPr>
  </w:style>
  <w:style w:type="table" w:styleId="Grilledutableau">
    <w:name w:val="Table Grid"/>
    <w:basedOn w:val="TableauNormal"/>
    <w:uiPriority w:val="59"/>
    <w:rsid w:val="002C52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D8D0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514</Words>
  <Characters>2829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Gaget</dc:creator>
  <cp:keywords/>
  <dc:description/>
  <cp:lastModifiedBy>Gaget</cp:lastModifiedBy>
  <cp:revision>2</cp:revision>
  <dcterms:created xsi:type="dcterms:W3CDTF">2009-01-20T17:28:00Z</dcterms:created>
  <dcterms:modified xsi:type="dcterms:W3CDTF">2009-01-20T18:12:00Z</dcterms:modified>
</cp:coreProperties>
</file>