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4B6" w:rsidRPr="0023708C" w:rsidRDefault="003A76FE">
      <w:pPr>
        <w:rPr>
          <w:b/>
          <w:bCs/>
          <w:u w:val="single"/>
        </w:rPr>
      </w:pPr>
      <w:r>
        <w:rPr>
          <w:b/>
          <w:bCs/>
          <w:u w:val="single"/>
        </w:rPr>
        <w:t>Réunion du 1</w:t>
      </w:r>
      <w:r w:rsidRPr="003A76FE">
        <w:rPr>
          <w:b/>
          <w:bCs/>
          <w:u w:val="single"/>
          <w:vertAlign w:val="superscript"/>
        </w:rPr>
        <w:t>er</w:t>
      </w:r>
      <w:r>
        <w:rPr>
          <w:b/>
          <w:bCs/>
          <w:u w:val="single"/>
        </w:rPr>
        <w:t xml:space="preserve"> avril 2011 - Paris</w:t>
      </w:r>
    </w:p>
    <w:p w:rsidR="003724B6" w:rsidRPr="0023708C" w:rsidRDefault="003724B6" w:rsidP="004C4E62">
      <w:pPr>
        <w:spacing w:after="0"/>
        <w:rPr>
          <w:b/>
          <w:bCs/>
          <w:u w:val="single"/>
        </w:rPr>
        <w:sectPr w:rsidR="003724B6" w:rsidRPr="0023708C" w:rsidSect="008B0146">
          <w:headerReference w:type="default" r:id="rId8"/>
          <w:pgSz w:w="11906" w:h="16838"/>
          <w:pgMar w:top="1417" w:right="991" w:bottom="1417" w:left="1134" w:header="708" w:footer="708" w:gutter="0"/>
          <w:cols w:space="708"/>
          <w:docGrid w:linePitch="360"/>
        </w:sectPr>
      </w:pPr>
    </w:p>
    <w:p w:rsidR="003724B6" w:rsidRPr="0023708C" w:rsidRDefault="003724B6" w:rsidP="004C4E62">
      <w:pPr>
        <w:spacing w:after="0"/>
        <w:rPr>
          <w:b/>
          <w:bCs/>
          <w:u w:val="single"/>
        </w:rPr>
      </w:pPr>
    </w:p>
    <w:p w:rsidR="003724B6" w:rsidRPr="0023708C" w:rsidRDefault="003724B6" w:rsidP="004C4E62">
      <w:pPr>
        <w:spacing w:after="0"/>
        <w:rPr>
          <w:b/>
          <w:bCs/>
          <w:u w:val="single"/>
        </w:rPr>
      </w:pPr>
      <w:r w:rsidRPr="0023708C">
        <w:rPr>
          <w:b/>
          <w:bCs/>
          <w:u w:val="single"/>
        </w:rPr>
        <w:t>Participants :</w:t>
      </w:r>
    </w:p>
    <w:p w:rsidR="007C3571" w:rsidRPr="0023708C" w:rsidRDefault="003724B6" w:rsidP="007C3571">
      <w:pPr>
        <w:pStyle w:val="Paragraphedeliste"/>
        <w:numPr>
          <w:ilvl w:val="0"/>
          <w:numId w:val="1"/>
        </w:numPr>
        <w:spacing w:after="0"/>
        <w:ind w:left="714" w:hanging="357"/>
      </w:pPr>
      <w:r w:rsidRPr="0023708C">
        <w:t xml:space="preserve">Marc Loisel </w:t>
      </w:r>
      <w:r w:rsidR="007C3571" w:rsidRPr="0023708C">
        <w:t>–</w:t>
      </w:r>
      <w:r w:rsidRPr="0023708C">
        <w:t xml:space="preserve"> Sorégies</w:t>
      </w:r>
    </w:p>
    <w:p w:rsidR="003724B6" w:rsidRPr="0023708C" w:rsidRDefault="003724B6" w:rsidP="007C3571">
      <w:pPr>
        <w:pStyle w:val="Paragraphedeliste"/>
        <w:numPr>
          <w:ilvl w:val="0"/>
          <w:numId w:val="1"/>
        </w:numPr>
        <w:spacing w:after="0"/>
        <w:ind w:left="714" w:hanging="357"/>
      </w:pPr>
      <w:r w:rsidRPr="0023708C">
        <w:t xml:space="preserve">Elodie </w:t>
      </w:r>
      <w:proofErr w:type="spellStart"/>
      <w:r w:rsidRPr="0023708C">
        <w:t>Ribardière</w:t>
      </w:r>
      <w:proofErr w:type="spellEnd"/>
      <w:r w:rsidRPr="0023708C">
        <w:t xml:space="preserve"> Le May – Sorégies</w:t>
      </w:r>
    </w:p>
    <w:p w:rsidR="003724B6" w:rsidRPr="0023708C" w:rsidRDefault="003724B6" w:rsidP="007C3571">
      <w:pPr>
        <w:pStyle w:val="Paragraphedeliste"/>
        <w:numPr>
          <w:ilvl w:val="0"/>
          <w:numId w:val="1"/>
        </w:numPr>
        <w:spacing w:after="0"/>
        <w:ind w:left="714" w:hanging="357"/>
        <w:rPr>
          <w:lang w:val="es-ES"/>
        </w:rPr>
      </w:pPr>
      <w:r w:rsidRPr="0023708C">
        <w:rPr>
          <w:lang w:val="es-ES"/>
        </w:rPr>
        <w:t>Antonio Haya - HES</w:t>
      </w:r>
    </w:p>
    <w:p w:rsidR="003724B6" w:rsidRPr="0023708C" w:rsidRDefault="003724B6" w:rsidP="00D32865">
      <w:pPr>
        <w:pStyle w:val="Paragraphedeliste"/>
        <w:numPr>
          <w:ilvl w:val="0"/>
          <w:numId w:val="1"/>
        </w:numPr>
      </w:pPr>
      <w:r w:rsidRPr="0023708C">
        <w:t>Frédéric Vigier  - HES</w:t>
      </w:r>
    </w:p>
    <w:p w:rsidR="003724B6" w:rsidRPr="0023708C" w:rsidRDefault="003724B6" w:rsidP="00A154EB">
      <w:pPr>
        <w:pStyle w:val="Paragraphedeliste"/>
      </w:pPr>
    </w:p>
    <w:p w:rsidR="003724B6" w:rsidRPr="0023708C" w:rsidRDefault="003724B6" w:rsidP="00A154EB">
      <w:pPr>
        <w:pStyle w:val="Paragraphedeliste"/>
      </w:pPr>
    </w:p>
    <w:p w:rsidR="003724B6" w:rsidRPr="0023708C" w:rsidRDefault="003724B6" w:rsidP="00A154EB">
      <w:pPr>
        <w:pStyle w:val="Paragraphedeliste"/>
      </w:pPr>
    </w:p>
    <w:p w:rsidR="003724B6" w:rsidRPr="0023708C" w:rsidRDefault="003724B6" w:rsidP="00D32865">
      <w:pPr>
        <w:spacing w:after="0"/>
        <w:rPr>
          <w:b/>
          <w:bCs/>
        </w:rPr>
      </w:pPr>
      <w:r w:rsidRPr="0023708C">
        <w:rPr>
          <w:b/>
          <w:bCs/>
          <w:u w:val="single"/>
        </w:rPr>
        <w:t xml:space="preserve">Date </w:t>
      </w:r>
      <w:proofErr w:type="spellStart"/>
      <w:r w:rsidRPr="0023708C">
        <w:rPr>
          <w:b/>
          <w:bCs/>
          <w:u w:val="single"/>
        </w:rPr>
        <w:t>MoM</w:t>
      </w:r>
      <w:proofErr w:type="spellEnd"/>
      <w:r w:rsidRPr="0023708C">
        <w:rPr>
          <w:b/>
          <w:bCs/>
          <w:u w:val="single"/>
        </w:rPr>
        <w:t> :</w:t>
      </w:r>
      <w:r w:rsidR="007C3571" w:rsidRPr="0023708C">
        <w:rPr>
          <w:b/>
          <w:bCs/>
          <w:u w:val="single"/>
        </w:rPr>
        <w:t xml:space="preserve"> </w:t>
      </w:r>
      <w:r w:rsidR="0026092B">
        <w:rPr>
          <w:b/>
          <w:bCs/>
          <w:u w:val="single"/>
        </w:rPr>
        <w:t>5</w:t>
      </w:r>
      <w:r w:rsidRPr="0023708C">
        <w:rPr>
          <w:b/>
          <w:bCs/>
        </w:rPr>
        <w:t xml:space="preserve"> </w:t>
      </w:r>
      <w:r w:rsidR="003A76FE">
        <w:rPr>
          <w:b/>
          <w:bCs/>
        </w:rPr>
        <w:t>avril</w:t>
      </w:r>
      <w:r w:rsidRPr="0023708C">
        <w:rPr>
          <w:b/>
          <w:bCs/>
        </w:rPr>
        <w:t xml:space="preserve"> 2011</w:t>
      </w:r>
    </w:p>
    <w:p w:rsidR="003724B6" w:rsidRPr="0023708C" w:rsidRDefault="003724B6" w:rsidP="00D32865">
      <w:pPr>
        <w:spacing w:after="0"/>
        <w:rPr>
          <w:b/>
          <w:bCs/>
        </w:rPr>
      </w:pPr>
      <w:r w:rsidRPr="0023708C">
        <w:rPr>
          <w:b/>
          <w:bCs/>
        </w:rPr>
        <w:t>Rédigé par F. Vigier</w:t>
      </w:r>
    </w:p>
    <w:p w:rsidR="003724B6" w:rsidRPr="0023708C" w:rsidRDefault="003724B6" w:rsidP="00D32865">
      <w:pPr>
        <w:pStyle w:val="Paragraphedeliste"/>
        <w:sectPr w:rsidR="003724B6" w:rsidRPr="0023708C" w:rsidSect="00A154EB">
          <w:type w:val="continuous"/>
          <w:pgSz w:w="11906" w:h="16838"/>
          <w:pgMar w:top="1417" w:right="991" w:bottom="1417" w:left="1134" w:header="708" w:footer="708" w:gutter="0"/>
          <w:cols w:num="2" w:space="708"/>
          <w:docGrid w:linePitch="360"/>
        </w:sectPr>
      </w:pPr>
    </w:p>
    <w:p w:rsidR="003724B6" w:rsidRPr="0023708C" w:rsidRDefault="003724B6" w:rsidP="00A154EB">
      <w:pPr>
        <w:pStyle w:val="Paragraphedeliste"/>
      </w:pPr>
    </w:p>
    <w:p w:rsidR="003724B6" w:rsidRPr="0023708C" w:rsidRDefault="003724B6" w:rsidP="00E41B3F">
      <w:pPr>
        <w:jc w:val="both"/>
        <w:rPr>
          <w:b/>
          <w:bCs/>
          <w:u w:val="single"/>
        </w:rPr>
      </w:pPr>
      <w:r w:rsidRPr="0023708C">
        <w:rPr>
          <w:b/>
          <w:bCs/>
          <w:u w:val="single"/>
        </w:rPr>
        <w:t>Points principaux</w:t>
      </w:r>
    </w:p>
    <w:p w:rsidR="00F50EE9" w:rsidRDefault="00F50EE9" w:rsidP="00E41B3F">
      <w:pPr>
        <w:pStyle w:val="Paragraphedeliste"/>
        <w:numPr>
          <w:ilvl w:val="0"/>
          <w:numId w:val="1"/>
        </w:numPr>
        <w:ind w:left="567" w:hanging="436"/>
        <w:jc w:val="both"/>
      </w:pPr>
      <w:r>
        <w:t xml:space="preserve">Concernant le </w:t>
      </w:r>
      <w:r w:rsidR="00041522">
        <w:t>calendrier</w:t>
      </w:r>
      <w:r>
        <w:t xml:space="preserve"> des procédures, Sorégies précise que </w:t>
      </w:r>
      <w:r w:rsidR="00041522">
        <w:t>la prochaine audience au TC est prévue le 4 mai 2011. La décision de poursuivre la procédure au TA devra être prise dans les 2 mois suivant la réception de la décision de la cour d’appel de Bordeaux.</w:t>
      </w:r>
    </w:p>
    <w:p w:rsidR="00041522" w:rsidRDefault="00041522" w:rsidP="00E41B3F">
      <w:pPr>
        <w:pStyle w:val="Paragraphedeliste"/>
        <w:numPr>
          <w:ilvl w:val="0"/>
          <w:numId w:val="1"/>
        </w:numPr>
        <w:ind w:left="567" w:hanging="436"/>
        <w:jc w:val="both"/>
      </w:pPr>
      <w:r>
        <w:t>Sorégies précise également que son objectif en termes financiers est de recevoir €15m de la vente des titres Séolis, nets des commissions d’intermédiation.</w:t>
      </w:r>
    </w:p>
    <w:p w:rsidR="00041522" w:rsidRDefault="00041522" w:rsidP="00041522">
      <w:pPr>
        <w:pStyle w:val="Paragraphedeliste"/>
        <w:numPr>
          <w:ilvl w:val="0"/>
          <w:numId w:val="1"/>
        </w:numPr>
        <w:ind w:left="567" w:hanging="436"/>
        <w:jc w:val="both"/>
      </w:pPr>
      <w:r w:rsidRPr="00C210F0">
        <w:t>Présentation par HES du document de support « Approche tactique de la négociation avec Séolis/SIEDS».</w:t>
      </w:r>
    </w:p>
    <w:p w:rsidR="00041522" w:rsidRDefault="00041522" w:rsidP="00041522">
      <w:pPr>
        <w:pStyle w:val="Paragraphedeliste"/>
        <w:numPr>
          <w:ilvl w:val="0"/>
          <w:numId w:val="1"/>
        </w:numPr>
        <w:ind w:left="567" w:hanging="436"/>
        <w:jc w:val="both"/>
      </w:pPr>
      <w:r>
        <w:t xml:space="preserve">Les points juridiques (possibilité de détention d’un an des titres en autocontrôle par une SAEML, possibilités de portage des titres par une </w:t>
      </w:r>
      <w:r w:rsidR="002A165E">
        <w:t>sous-filiale</w:t>
      </w:r>
      <w:r>
        <w:t xml:space="preserve"> de Séolis, nécessité de signer un accord de confidentialité avec Séolis / se limiter à des communications entre avocats…) doivent être analysés par les conseils de Sorégies.</w:t>
      </w:r>
    </w:p>
    <w:p w:rsidR="002A165E" w:rsidRDefault="002A165E" w:rsidP="00041522">
      <w:pPr>
        <w:pStyle w:val="Paragraphedeliste"/>
        <w:numPr>
          <w:ilvl w:val="0"/>
          <w:numId w:val="1"/>
        </w:numPr>
        <w:ind w:left="567" w:hanging="436"/>
        <w:jc w:val="both"/>
      </w:pPr>
      <w:r>
        <w:t>Le timing de la négociation devra être court, sur la base des arguments suivants :</w:t>
      </w:r>
    </w:p>
    <w:p w:rsidR="002A165E" w:rsidRDefault="002A165E" w:rsidP="002A165E">
      <w:pPr>
        <w:pStyle w:val="Paragraphedeliste"/>
        <w:numPr>
          <w:ilvl w:val="1"/>
          <w:numId w:val="1"/>
        </w:numPr>
        <w:jc w:val="both"/>
      </w:pPr>
      <w:r>
        <w:t>Le délai maximal de deux mois dont dispose Sorégies pour se pourvoir en cassation ;</w:t>
      </w:r>
    </w:p>
    <w:p w:rsidR="002A165E" w:rsidRDefault="002A165E" w:rsidP="002A165E">
      <w:pPr>
        <w:pStyle w:val="Paragraphedeliste"/>
        <w:numPr>
          <w:ilvl w:val="1"/>
          <w:numId w:val="1"/>
        </w:numPr>
        <w:jc w:val="both"/>
      </w:pPr>
      <w:r>
        <w:t>Le prix offert vaut pour une transaction à fin juin. Si dépassement, la rémunération des capitaux investis sera mécaniquement plus importante ;</w:t>
      </w:r>
    </w:p>
    <w:p w:rsidR="002A165E" w:rsidRDefault="002A165E" w:rsidP="002A165E">
      <w:pPr>
        <w:pStyle w:val="Paragraphedeliste"/>
        <w:numPr>
          <w:ilvl w:val="1"/>
          <w:numId w:val="1"/>
        </w:numPr>
        <w:jc w:val="both"/>
      </w:pPr>
      <w:r>
        <w:t>Les échéances importantes du secteur (ARENH…) imposent d’être prêts, et donc de commencer le processus, le plus tôt possible.</w:t>
      </w:r>
    </w:p>
    <w:p w:rsidR="002A165E" w:rsidRDefault="002A165E" w:rsidP="002A165E">
      <w:pPr>
        <w:pStyle w:val="Paragraphedeliste"/>
        <w:numPr>
          <w:ilvl w:val="1"/>
          <w:numId w:val="1"/>
        </w:numPr>
        <w:jc w:val="both"/>
      </w:pPr>
      <w:r>
        <w:t>L’idéal est de viser les assemblées syndicales de la Vienne et des Deux-Sèvres prévues en Juin afin d’autoriser la cession (respectivement l’achat) de la participation.</w:t>
      </w:r>
    </w:p>
    <w:p w:rsidR="00041522" w:rsidRPr="002A165E" w:rsidRDefault="00041522" w:rsidP="00E41B3F">
      <w:pPr>
        <w:pStyle w:val="Paragraphedeliste"/>
        <w:numPr>
          <w:ilvl w:val="0"/>
          <w:numId w:val="1"/>
        </w:numPr>
        <w:ind w:left="567" w:hanging="436"/>
        <w:jc w:val="both"/>
      </w:pPr>
      <w:r w:rsidRPr="002A165E">
        <w:t>Sorégies précise sa position sur les points de discussion / Négociation suivants :</w:t>
      </w:r>
    </w:p>
    <w:p w:rsidR="003724B6" w:rsidRPr="002A165E" w:rsidRDefault="00041522" w:rsidP="00041522">
      <w:pPr>
        <w:pStyle w:val="Paragraphedeliste"/>
        <w:numPr>
          <w:ilvl w:val="1"/>
          <w:numId w:val="1"/>
        </w:numPr>
        <w:jc w:val="both"/>
      </w:pPr>
      <w:r w:rsidRPr="002A165E">
        <w:t xml:space="preserve">Fusion : </w:t>
      </w:r>
      <w:r w:rsidR="002A165E" w:rsidRPr="002A165E">
        <w:t>la fusion reste une idée intéressante du point de vue industriel, mais elle est compliquée et ne pourra être examinée qu’une fois la sortie de crise, matérialisée par la cession de la participation dans Séolis et l’arrêt des procédures judiciaires, effectuée ;</w:t>
      </w:r>
    </w:p>
    <w:p w:rsidR="002A165E" w:rsidRPr="002A165E" w:rsidRDefault="002A165E" w:rsidP="00041522">
      <w:pPr>
        <w:pStyle w:val="Paragraphedeliste"/>
        <w:numPr>
          <w:ilvl w:val="1"/>
          <w:numId w:val="1"/>
        </w:numPr>
        <w:jc w:val="both"/>
      </w:pPr>
      <w:r w:rsidRPr="002A165E">
        <w:t>Croisement des participations : oui, mais à la valeur vénale des sociétés ;</w:t>
      </w:r>
    </w:p>
    <w:p w:rsidR="002A165E" w:rsidRDefault="002A165E" w:rsidP="00041522">
      <w:pPr>
        <w:pStyle w:val="Paragraphedeliste"/>
        <w:numPr>
          <w:ilvl w:val="1"/>
          <w:numId w:val="1"/>
        </w:numPr>
        <w:jc w:val="both"/>
      </w:pPr>
      <w:r>
        <w:lastRenderedPageBreak/>
        <w:t>Arrêt des procédures judiciaires : Ceci n’est concevable qu’une fois la cession effective (</w:t>
      </w:r>
      <w:proofErr w:type="spellStart"/>
      <w:r>
        <w:t>c.a.d</w:t>
      </w:r>
      <w:proofErr w:type="spellEnd"/>
      <w:r>
        <w:t>. paiement reçu).</w:t>
      </w:r>
    </w:p>
    <w:p w:rsidR="002A165E" w:rsidRDefault="008D3A89" w:rsidP="00041522">
      <w:pPr>
        <w:pStyle w:val="Paragraphedeliste"/>
        <w:numPr>
          <w:ilvl w:val="1"/>
          <w:numId w:val="1"/>
        </w:numPr>
        <w:jc w:val="both"/>
      </w:pPr>
      <w:r>
        <w:t>Clause de rétrocession : peut être abandonnée au cours de la négociation, mais en contrepartie d’une négociation moins importante sur le prix.</w:t>
      </w:r>
    </w:p>
    <w:p w:rsidR="008D3A89" w:rsidRPr="002A165E" w:rsidRDefault="008D3A89" w:rsidP="008D3A89">
      <w:pPr>
        <w:ind w:left="1080"/>
        <w:jc w:val="both"/>
      </w:pPr>
    </w:p>
    <w:p w:rsidR="003724B6" w:rsidRPr="0023708C" w:rsidRDefault="003724B6" w:rsidP="00E41B3F">
      <w:pPr>
        <w:jc w:val="both"/>
        <w:rPr>
          <w:b/>
          <w:bCs/>
          <w:u w:val="single"/>
        </w:rPr>
      </w:pPr>
      <w:r w:rsidRPr="0023708C">
        <w:rPr>
          <w:b/>
          <w:bCs/>
          <w:u w:val="single"/>
        </w:rPr>
        <w:t>Prochaines étapes</w:t>
      </w:r>
    </w:p>
    <w:p w:rsidR="003724B6" w:rsidRDefault="003A76FE" w:rsidP="00E41B3F">
      <w:pPr>
        <w:pStyle w:val="Paragraphedeliste"/>
        <w:numPr>
          <w:ilvl w:val="0"/>
          <w:numId w:val="1"/>
        </w:numPr>
        <w:jc w:val="both"/>
      </w:pPr>
      <w:r>
        <w:t xml:space="preserve">Réunion avec M. </w:t>
      </w:r>
      <w:proofErr w:type="spellStart"/>
      <w:r>
        <w:t>Dutruc</w:t>
      </w:r>
      <w:proofErr w:type="spellEnd"/>
      <w:r>
        <w:t xml:space="preserve"> – Séolis pour présentation de l’offre Sorégies</w:t>
      </w:r>
      <w:r w:rsidR="003724B6" w:rsidRPr="0023708C">
        <w:t>.</w:t>
      </w:r>
    </w:p>
    <w:p w:rsidR="0026092B" w:rsidRPr="0023708C" w:rsidRDefault="0026092B" w:rsidP="00E41B3F">
      <w:pPr>
        <w:pStyle w:val="Paragraphedeliste"/>
        <w:numPr>
          <w:ilvl w:val="0"/>
          <w:numId w:val="1"/>
        </w:numPr>
        <w:jc w:val="both"/>
      </w:pPr>
      <w:r>
        <w:t xml:space="preserve">Sorégies doit approfondir </w:t>
      </w:r>
      <w:r>
        <w:t>avec son conseil</w:t>
      </w:r>
      <w:r>
        <w:t xml:space="preserve"> les aspects juridiques liés au statut de Séolis et son impact sur la faisabilité de la transaction proposée.</w:t>
      </w:r>
      <w:bookmarkStart w:id="0" w:name="_GoBack"/>
      <w:bookmarkEnd w:id="0"/>
    </w:p>
    <w:sectPr w:rsidR="0026092B" w:rsidRPr="0023708C" w:rsidSect="008B1EAA">
      <w:type w:val="continuous"/>
      <w:pgSz w:w="11906" w:h="16838"/>
      <w:pgMar w:top="1417" w:right="991" w:bottom="141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8CE" w:rsidRDefault="00C818CE" w:rsidP="00D32865">
      <w:pPr>
        <w:spacing w:after="0" w:line="240" w:lineRule="auto"/>
      </w:pPr>
      <w:r>
        <w:separator/>
      </w:r>
    </w:p>
  </w:endnote>
  <w:endnote w:type="continuationSeparator" w:id="0">
    <w:p w:rsidR="00C818CE" w:rsidRDefault="00C818CE" w:rsidP="00D32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8CE" w:rsidRDefault="00C818CE" w:rsidP="00D32865">
      <w:pPr>
        <w:spacing w:after="0" w:line="240" w:lineRule="auto"/>
      </w:pPr>
      <w:r>
        <w:separator/>
      </w:r>
    </w:p>
  </w:footnote>
  <w:footnote w:type="continuationSeparator" w:id="0">
    <w:p w:rsidR="00C818CE" w:rsidRDefault="00C818CE" w:rsidP="00D328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B6" w:rsidRDefault="00161710">
    <w:pPr>
      <w:pStyle w:val="En-tte"/>
    </w:pPr>
    <w:r>
      <w:rPr>
        <w:noProof/>
        <w:lang w:eastAsia="fr-FR"/>
      </w:rPr>
      <mc:AlternateContent>
        <mc:Choice Requires="wps">
          <w:drawing>
            <wp:inline distT="0" distB="0" distL="0" distR="0" wp14:anchorId="752A3051" wp14:editId="6E8C88E9">
              <wp:extent cx="3240405" cy="584835"/>
              <wp:effectExtent l="0" t="0" r="0" b="0"/>
              <wp:docPr id="1" name="Zone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40405"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4B6" w:rsidRDefault="003724B6" w:rsidP="00507279">
                          <w:pPr>
                            <w:pStyle w:val="NormalWeb"/>
                            <w:spacing w:before="0" w:beforeAutospacing="0" w:after="0" w:afterAutospacing="0"/>
                          </w:pPr>
                          <w:proofErr w:type="spellStart"/>
                          <w:r w:rsidRPr="00B22FE2">
                            <w:rPr>
                              <w:rFonts w:ascii="Calibri" w:hAnsi="Calibri" w:cs="Calibri"/>
                              <w:color w:val="0F243E"/>
                              <w:kern w:val="24"/>
                              <w:sz w:val="40"/>
                              <w:szCs w:val="40"/>
                              <w:lang w:val="en-US"/>
                            </w:rPr>
                            <w:t>Haya</w:t>
                          </w:r>
                          <w:proofErr w:type="spellEnd"/>
                          <w:r w:rsidRPr="00B22FE2">
                            <w:rPr>
                              <w:rFonts w:ascii="Calibri" w:hAnsi="Calibri" w:cs="Calibri"/>
                              <w:color w:val="0F243E"/>
                              <w:kern w:val="24"/>
                              <w:sz w:val="40"/>
                              <w:szCs w:val="40"/>
                              <w:lang w:val="en-US"/>
                            </w:rPr>
                            <w:t xml:space="preserve"> </w:t>
                          </w:r>
                          <w:r w:rsidRPr="00B22FE2">
                            <w:rPr>
                              <w:rFonts w:ascii="Calibri" w:hAnsi="Calibri" w:cs="Calibri"/>
                              <w:b/>
                              <w:bCs/>
                              <w:color w:val="0F243E"/>
                              <w:kern w:val="24"/>
                              <w:sz w:val="40"/>
                              <w:szCs w:val="40"/>
                              <w:lang w:val="en-US"/>
                            </w:rPr>
                            <w:t xml:space="preserve">Energy </w:t>
                          </w:r>
                          <w:r w:rsidRPr="00B22FE2">
                            <w:rPr>
                              <w:rFonts w:ascii="Calibri" w:hAnsi="Calibri" w:cs="Calibri"/>
                              <w:color w:val="0F243E"/>
                              <w:kern w:val="24"/>
                              <w:sz w:val="40"/>
                              <w:szCs w:val="40"/>
                              <w:lang w:val="en-US"/>
                            </w:rPr>
                            <w:t xml:space="preserve">Solutions </w:t>
                          </w:r>
                          <w:r w:rsidRPr="00B22FE2">
                            <w:rPr>
                              <w:rFonts w:ascii="Calibri" w:hAnsi="Calibri" w:cs="Calibri"/>
                              <w:color w:val="0F243E"/>
                              <w:sz w:val="64"/>
                              <w:szCs w:val="64"/>
                              <w:lang w:val="en-US"/>
                            </w:rPr>
                            <w:sym w:font="Webdings" w:char="F0F0"/>
                          </w:r>
                        </w:p>
                      </w:txbxContent>
                    </wps:txbx>
                    <wps:bodyPr rot="0" vert="horz" wrap="square" lIns="72000" tIns="45720" rIns="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ZoneTexte 14" o:spid="_x0000_s1026" type="#_x0000_t202" style="width:255.15pt;height:4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" filled="f" stroked="f">
              <v:path arrowok="t"/>
              <v:textbox style="mso-fit-shape-to-text:t" inset="2mm,,0">
                <w:txbxContent>
                  <w:p w:rsidR="003724B6" w:rsidRDefault="003724B6" w:rsidP="00507279">
                    <w:pPr>
                      <w:pStyle w:val="NormalWeb"/>
                      <w:spacing w:before="0" w:beforeAutospacing="0" w:after="0" w:afterAutospacing="0"/>
                    </w:pPr>
                    <w:proofErr w:type="spellStart"/>
                    <w:r w:rsidRPr="00B22FE2">
                      <w:rPr>
                        <w:rFonts w:ascii="Calibri" w:hAnsi="Calibri" w:cs="Calibri"/>
                        <w:color w:val="0F243E"/>
                        <w:kern w:val="24"/>
                        <w:sz w:val="40"/>
                        <w:szCs w:val="40"/>
                        <w:lang w:val="en-US"/>
                      </w:rPr>
                      <w:t>Haya</w:t>
                    </w:r>
                    <w:proofErr w:type="spellEnd"/>
                    <w:r w:rsidRPr="00B22FE2">
                      <w:rPr>
                        <w:rFonts w:ascii="Calibri" w:hAnsi="Calibri" w:cs="Calibri"/>
                        <w:color w:val="0F243E"/>
                        <w:kern w:val="24"/>
                        <w:sz w:val="40"/>
                        <w:szCs w:val="40"/>
                        <w:lang w:val="en-US"/>
                      </w:rPr>
                      <w:t xml:space="preserve"> </w:t>
                    </w:r>
                    <w:r w:rsidRPr="00B22FE2">
                      <w:rPr>
                        <w:rFonts w:ascii="Calibri" w:hAnsi="Calibri" w:cs="Calibri"/>
                        <w:b/>
                        <w:bCs/>
                        <w:color w:val="0F243E"/>
                        <w:kern w:val="24"/>
                        <w:sz w:val="40"/>
                        <w:szCs w:val="40"/>
                        <w:lang w:val="en-US"/>
                      </w:rPr>
                      <w:t xml:space="preserve">Energy </w:t>
                    </w:r>
                    <w:r w:rsidRPr="00B22FE2">
                      <w:rPr>
                        <w:rFonts w:ascii="Calibri" w:hAnsi="Calibri" w:cs="Calibri"/>
                        <w:color w:val="0F243E"/>
                        <w:kern w:val="24"/>
                        <w:sz w:val="40"/>
                        <w:szCs w:val="40"/>
                        <w:lang w:val="en-US"/>
                      </w:rPr>
                      <w:t xml:space="preserve">Solutions </w:t>
                    </w:r>
                    <w:r w:rsidRPr="00B22FE2">
                      <w:rPr>
                        <w:rFonts w:ascii="Calibri" w:hAnsi="Calibri" w:cs="Calibri"/>
                        <w:color w:val="0F243E"/>
                        <w:sz w:val="64"/>
                        <w:szCs w:val="64"/>
                        <w:lang w:val="en-US"/>
                      </w:rPr>
                      <w:sym w:font="Webdings" w:char="F0F0"/>
                    </w:r>
                  </w:p>
                </w:txbxContent>
              </v:textbox>
              <w10:anchorlock/>
            </v:shape>
          </w:pict>
        </mc:Fallback>
      </mc:AlternateContent>
    </w:r>
  </w:p>
  <w:p w:rsidR="003724B6" w:rsidRDefault="003724B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09657D"/>
    <w:multiLevelType w:val="hybridMultilevel"/>
    <w:tmpl w:val="33B04468"/>
    <w:lvl w:ilvl="0" w:tplc="538A326C">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cs="Courier New" w:hint="default"/>
      </w:rPr>
    </w:lvl>
    <w:lvl w:ilvl="2" w:tplc="DF6E1B94">
      <w:start w:val="1"/>
      <w:numFmt w:val="lowerRoman"/>
      <w:lvlText w:val="(%3)"/>
      <w:lvlJc w:val="left"/>
      <w:pPr>
        <w:ind w:left="2160" w:hanging="360"/>
      </w:pPr>
      <w:rPr>
        <w:rFont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62"/>
    <w:rsid w:val="000056AE"/>
    <w:rsid w:val="00016650"/>
    <w:rsid w:val="0002053C"/>
    <w:rsid w:val="00033E85"/>
    <w:rsid w:val="00041522"/>
    <w:rsid w:val="000716A1"/>
    <w:rsid w:val="00076ACE"/>
    <w:rsid w:val="000C18F1"/>
    <w:rsid w:val="000D613C"/>
    <w:rsid w:val="00110D74"/>
    <w:rsid w:val="00114970"/>
    <w:rsid w:val="00161710"/>
    <w:rsid w:val="001E6D85"/>
    <w:rsid w:val="0020198E"/>
    <w:rsid w:val="0023708C"/>
    <w:rsid w:val="00256C85"/>
    <w:rsid w:val="0026092B"/>
    <w:rsid w:val="002A165E"/>
    <w:rsid w:val="002A5A76"/>
    <w:rsid w:val="002C164B"/>
    <w:rsid w:val="002F784F"/>
    <w:rsid w:val="003301D8"/>
    <w:rsid w:val="0033142A"/>
    <w:rsid w:val="00355BF0"/>
    <w:rsid w:val="00363665"/>
    <w:rsid w:val="00364E8B"/>
    <w:rsid w:val="003724B6"/>
    <w:rsid w:val="00374468"/>
    <w:rsid w:val="003805B5"/>
    <w:rsid w:val="003A4CC8"/>
    <w:rsid w:val="003A76FE"/>
    <w:rsid w:val="003D48CB"/>
    <w:rsid w:val="00401B55"/>
    <w:rsid w:val="00412F11"/>
    <w:rsid w:val="00426BFE"/>
    <w:rsid w:val="004343BB"/>
    <w:rsid w:val="00443DC9"/>
    <w:rsid w:val="00462258"/>
    <w:rsid w:val="00477D79"/>
    <w:rsid w:val="00496B47"/>
    <w:rsid w:val="004C387D"/>
    <w:rsid w:val="004C4E62"/>
    <w:rsid w:val="00507279"/>
    <w:rsid w:val="00564A63"/>
    <w:rsid w:val="00565748"/>
    <w:rsid w:val="005B1170"/>
    <w:rsid w:val="005D278D"/>
    <w:rsid w:val="006347D5"/>
    <w:rsid w:val="006C0891"/>
    <w:rsid w:val="006E5EC3"/>
    <w:rsid w:val="00731F7C"/>
    <w:rsid w:val="007B0810"/>
    <w:rsid w:val="007B36A7"/>
    <w:rsid w:val="007C3571"/>
    <w:rsid w:val="007F2DE0"/>
    <w:rsid w:val="008B0146"/>
    <w:rsid w:val="008B0D1F"/>
    <w:rsid w:val="008B1EAA"/>
    <w:rsid w:val="008B6CAA"/>
    <w:rsid w:val="008D3A89"/>
    <w:rsid w:val="00925DF6"/>
    <w:rsid w:val="00972768"/>
    <w:rsid w:val="009D22D4"/>
    <w:rsid w:val="009F3FBE"/>
    <w:rsid w:val="00A14A5D"/>
    <w:rsid w:val="00A154EB"/>
    <w:rsid w:val="00A17BE5"/>
    <w:rsid w:val="00A23124"/>
    <w:rsid w:val="00A71716"/>
    <w:rsid w:val="00AA74D0"/>
    <w:rsid w:val="00B22FE2"/>
    <w:rsid w:val="00BA4B10"/>
    <w:rsid w:val="00C210F0"/>
    <w:rsid w:val="00C43C1C"/>
    <w:rsid w:val="00C6072E"/>
    <w:rsid w:val="00C63A7B"/>
    <w:rsid w:val="00C818CE"/>
    <w:rsid w:val="00CE3A5E"/>
    <w:rsid w:val="00CF5DB4"/>
    <w:rsid w:val="00D02C1F"/>
    <w:rsid w:val="00D32865"/>
    <w:rsid w:val="00D635C5"/>
    <w:rsid w:val="00E41B3F"/>
    <w:rsid w:val="00E60C24"/>
    <w:rsid w:val="00E61EDD"/>
    <w:rsid w:val="00E700F5"/>
    <w:rsid w:val="00E77EE8"/>
    <w:rsid w:val="00EC377B"/>
    <w:rsid w:val="00ED3C35"/>
    <w:rsid w:val="00F006F5"/>
    <w:rsid w:val="00F50EE9"/>
    <w:rsid w:val="00FA0731"/>
    <w:rsid w:val="00FA6C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2D4"/>
    <w:pPr>
      <w:spacing w:after="200" w:line="276" w:lineRule="auto"/>
    </w:pPr>
    <w:rPr>
      <w:rFonts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4C4E62"/>
    <w:pPr>
      <w:ind w:left="720"/>
    </w:pPr>
  </w:style>
  <w:style w:type="paragraph" w:styleId="Textedebulles">
    <w:name w:val="Balloon Text"/>
    <w:basedOn w:val="Normal"/>
    <w:link w:val="TextedebullesCar"/>
    <w:uiPriority w:val="99"/>
    <w:semiHidden/>
    <w:rsid w:val="00D328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2865"/>
    <w:rPr>
      <w:rFonts w:ascii="Tahoma" w:hAnsi="Tahoma" w:cs="Tahoma"/>
      <w:sz w:val="16"/>
      <w:szCs w:val="16"/>
    </w:rPr>
  </w:style>
  <w:style w:type="paragraph" w:styleId="En-tte">
    <w:name w:val="header"/>
    <w:basedOn w:val="Normal"/>
    <w:link w:val="En-tteCar"/>
    <w:uiPriority w:val="99"/>
    <w:rsid w:val="00D32865"/>
    <w:pPr>
      <w:tabs>
        <w:tab w:val="center" w:pos="4536"/>
        <w:tab w:val="right" w:pos="9072"/>
      </w:tabs>
      <w:spacing w:after="0" w:line="240" w:lineRule="auto"/>
    </w:pPr>
  </w:style>
  <w:style w:type="character" w:customStyle="1" w:styleId="En-tteCar">
    <w:name w:val="En-tête Car"/>
    <w:basedOn w:val="Policepardfaut"/>
    <w:link w:val="En-tte"/>
    <w:uiPriority w:val="99"/>
    <w:rsid w:val="00D32865"/>
  </w:style>
  <w:style w:type="paragraph" w:styleId="Pieddepage">
    <w:name w:val="footer"/>
    <w:basedOn w:val="Normal"/>
    <w:link w:val="PieddepageCar"/>
    <w:uiPriority w:val="99"/>
    <w:rsid w:val="00D328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2865"/>
  </w:style>
  <w:style w:type="paragraph" w:styleId="NormalWeb">
    <w:name w:val="Normal (Web)"/>
    <w:basedOn w:val="Normal"/>
    <w:uiPriority w:val="99"/>
    <w:semiHidden/>
    <w:rsid w:val="0050727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2D4"/>
    <w:pPr>
      <w:spacing w:after="200" w:line="276" w:lineRule="auto"/>
    </w:pPr>
    <w:rPr>
      <w:rFonts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4C4E62"/>
    <w:pPr>
      <w:ind w:left="720"/>
    </w:pPr>
  </w:style>
  <w:style w:type="paragraph" w:styleId="Textedebulles">
    <w:name w:val="Balloon Text"/>
    <w:basedOn w:val="Normal"/>
    <w:link w:val="TextedebullesCar"/>
    <w:uiPriority w:val="99"/>
    <w:semiHidden/>
    <w:rsid w:val="00D328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2865"/>
    <w:rPr>
      <w:rFonts w:ascii="Tahoma" w:hAnsi="Tahoma" w:cs="Tahoma"/>
      <w:sz w:val="16"/>
      <w:szCs w:val="16"/>
    </w:rPr>
  </w:style>
  <w:style w:type="paragraph" w:styleId="En-tte">
    <w:name w:val="header"/>
    <w:basedOn w:val="Normal"/>
    <w:link w:val="En-tteCar"/>
    <w:uiPriority w:val="99"/>
    <w:rsid w:val="00D32865"/>
    <w:pPr>
      <w:tabs>
        <w:tab w:val="center" w:pos="4536"/>
        <w:tab w:val="right" w:pos="9072"/>
      </w:tabs>
      <w:spacing w:after="0" w:line="240" w:lineRule="auto"/>
    </w:pPr>
  </w:style>
  <w:style w:type="character" w:customStyle="1" w:styleId="En-tteCar">
    <w:name w:val="En-tête Car"/>
    <w:basedOn w:val="Policepardfaut"/>
    <w:link w:val="En-tte"/>
    <w:uiPriority w:val="99"/>
    <w:rsid w:val="00D32865"/>
  </w:style>
  <w:style w:type="paragraph" w:styleId="Pieddepage">
    <w:name w:val="footer"/>
    <w:basedOn w:val="Normal"/>
    <w:link w:val="PieddepageCar"/>
    <w:uiPriority w:val="99"/>
    <w:rsid w:val="00D328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2865"/>
  </w:style>
  <w:style w:type="paragraph" w:styleId="NormalWeb">
    <w:name w:val="Normal (Web)"/>
    <w:basedOn w:val="Normal"/>
    <w:uiPriority w:val="99"/>
    <w:semiHidden/>
    <w:rsid w:val="0050727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400</Words>
  <Characters>2202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Réuniondu 10 mars–Poitiers</vt:lpstr>
    </vt:vector>
  </TitlesOfParts>
  <Company>Groupe BPI</Company>
  <LinksUpToDate>false</LinksUpToDate>
  <CharactersWithSpaces>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Réuniondu 10 mars–Poitiers</dc:title>
  <dc:creator>Frederic Vigier</dc:creator>
  <cp:lastModifiedBy>Frederic Vigier</cp:lastModifiedBy>
  <cp:revision>10</cp:revision>
  <dcterms:created xsi:type="dcterms:W3CDTF">2011-03-22T18:14:00Z</dcterms:created>
  <dcterms:modified xsi:type="dcterms:W3CDTF">2011-04-05T06:56:00Z</dcterms:modified>
</cp:coreProperties>
</file>