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815" w:rsidRPr="00862815" w:rsidRDefault="00862815" w:rsidP="00862815">
      <w:pPr>
        <w:jc w:val="center"/>
        <w:rPr>
          <w:sz w:val="36"/>
        </w:rPr>
      </w:pPr>
      <w:r w:rsidRPr="00862815">
        <w:rPr>
          <w:sz w:val="36"/>
        </w:rPr>
        <w:t>Projet Alice</w:t>
      </w:r>
    </w:p>
    <w:p w:rsidR="00862815" w:rsidRPr="00862815" w:rsidRDefault="000D4E67" w:rsidP="00862815">
      <w:pPr>
        <w:jc w:val="center"/>
        <w:rPr>
          <w:sz w:val="28"/>
        </w:rPr>
      </w:pPr>
      <w:r>
        <w:rPr>
          <w:sz w:val="28"/>
        </w:rPr>
        <w:t xml:space="preserve">Point </w:t>
      </w:r>
      <w:r w:rsidR="00862815" w:rsidRPr="00862815">
        <w:rPr>
          <w:sz w:val="28"/>
        </w:rPr>
        <w:t>15</w:t>
      </w:r>
      <w:r>
        <w:rPr>
          <w:sz w:val="28"/>
        </w:rPr>
        <w:t xml:space="preserve"> mai </w:t>
      </w:r>
      <w:r w:rsidR="00862815" w:rsidRPr="00862815">
        <w:rPr>
          <w:sz w:val="28"/>
        </w:rPr>
        <w:t>2011</w:t>
      </w:r>
    </w:p>
    <w:p w:rsidR="00862815" w:rsidRDefault="00862815" w:rsidP="00862815"/>
    <w:p w:rsidR="00862815" w:rsidRPr="00F745FA" w:rsidRDefault="00862815" w:rsidP="00862815">
      <w:pPr>
        <w:rPr>
          <w:b/>
        </w:rPr>
      </w:pPr>
      <w:r>
        <w:rPr>
          <w:b/>
          <w:sz w:val="24"/>
        </w:rPr>
        <w:t>Principaux chiffres clés relatifs à la valeur de la participation de</w:t>
      </w:r>
      <w:r w:rsidRPr="00F745FA">
        <w:rPr>
          <w:b/>
          <w:sz w:val="24"/>
        </w:rPr>
        <w:t xml:space="preserve"> 15% d</w:t>
      </w:r>
      <w:r>
        <w:rPr>
          <w:b/>
          <w:sz w:val="24"/>
        </w:rPr>
        <w:t>ans</w:t>
      </w:r>
      <w:r w:rsidRPr="00F745FA">
        <w:rPr>
          <w:b/>
          <w:sz w:val="24"/>
        </w:rPr>
        <w:t xml:space="preserve"> Séolis</w:t>
      </w:r>
    </w:p>
    <w:p w:rsidR="00862815" w:rsidRPr="00180075" w:rsidRDefault="00862815" w:rsidP="00862815">
      <w:pPr>
        <w:jc w:val="both"/>
      </w:pPr>
      <w:r w:rsidRPr="00180075">
        <w:t>Le graphique suivant résume les offres de Séolis et Sorégies relatives à la participation que Sorégies détient dans Séolis, ainsi que les différentes valeurs qui pourraient être employés comme référence :</w:t>
      </w:r>
    </w:p>
    <w:p w:rsidR="00862815" w:rsidRPr="00180075" w:rsidRDefault="00862815" w:rsidP="00862815">
      <w:pPr>
        <w:jc w:val="both"/>
      </w:pPr>
    </w:p>
    <w:p w:rsidR="00862815" w:rsidRPr="00180075" w:rsidRDefault="00862815" w:rsidP="00862815">
      <w:pPr>
        <w:jc w:val="center"/>
      </w:pPr>
      <w:r>
        <w:rPr>
          <w:noProof/>
        </w:rPr>
        <w:pict>
          <v:roundrect id="AutoShape 2" o:spid="_x0000_s1026" style="position:absolute;left:0;text-align:left;margin-left:159.4pt;margin-top:36.35pt;width:183.75pt;height:127.3pt;z-index:2516602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" filled="f" strokecolor="red">
            <v:stroke dashstyle="1 1"/>
          </v:roundrect>
        </w:pict>
      </w:r>
      <w:r w:rsidRPr="00180075">
        <w:rPr>
          <w:noProof/>
        </w:rPr>
        <w:drawing>
          <wp:inline distT="0" distB="0" distL="0" distR="0">
            <wp:extent cx="4410075" cy="2133600"/>
            <wp:effectExtent l="19050" t="0" r="9525" b="0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62815" w:rsidRPr="00180075" w:rsidRDefault="00862815" w:rsidP="00862815">
      <w:pPr>
        <w:jc w:val="center"/>
        <w:rPr>
          <w:highlight w:val="yellow"/>
        </w:rPr>
      </w:pPr>
    </w:p>
    <w:p w:rsidR="00862815" w:rsidRPr="00180075" w:rsidRDefault="00862815" w:rsidP="00862815">
      <w:r w:rsidRPr="00180075">
        <w:t>Nous détaillons ci-dessous les principales valeurs :</w:t>
      </w:r>
    </w:p>
    <w:p w:rsidR="00862815" w:rsidRPr="00180075" w:rsidRDefault="00862815" w:rsidP="00862815">
      <w:pPr>
        <w:pStyle w:val="Paragraphedeliste"/>
        <w:numPr>
          <w:ilvl w:val="0"/>
          <w:numId w:val="1"/>
        </w:numPr>
        <w:spacing w:before="120" w:after="240"/>
        <w:ind w:left="714" w:hanging="357"/>
        <w:jc w:val="both"/>
      </w:pPr>
      <w:r w:rsidRPr="00180075">
        <w:t xml:space="preserve">Valeur au Bilan Consolidé de Sorégies au 31.12.2010 : </w:t>
      </w:r>
      <w:r w:rsidRPr="00180075">
        <w:rPr>
          <w:b/>
        </w:rPr>
        <w:t>13.8 m€</w:t>
      </w:r>
      <w:r>
        <w:rPr>
          <w:rStyle w:val="Appelnotedebasdep"/>
          <w:b/>
        </w:rPr>
        <w:footnoteReference w:id="1"/>
      </w:r>
      <w:r w:rsidRPr="00180075">
        <w:t xml:space="preserve">. </w:t>
      </w:r>
      <w:r>
        <w:t>Le prix proposé par Séolis est déjà supérieur à cette valeur.</w:t>
      </w:r>
    </w:p>
    <w:p w:rsidR="00862815" w:rsidRPr="007A39D3" w:rsidRDefault="00862815" w:rsidP="00862815">
      <w:pPr>
        <w:pStyle w:val="Paragraphedeliste"/>
        <w:numPr>
          <w:ilvl w:val="0"/>
          <w:numId w:val="1"/>
        </w:numPr>
        <w:spacing w:after="240"/>
        <w:ind w:left="714" w:hanging="357"/>
        <w:jc w:val="both"/>
      </w:pPr>
      <w:r w:rsidRPr="00180075">
        <w:t xml:space="preserve">Valeur de 15% Séolis en considérant la valeur théorique des fonds propres de Séolis a </w:t>
      </w:r>
      <w:r w:rsidRPr="007A39D3">
        <w:t>30/6/201</w:t>
      </w:r>
      <w:r w:rsidRPr="007A39D3">
        <w:rPr>
          <w:vertAlign w:val="superscript"/>
        </w:rPr>
        <w:footnoteReference w:id="2"/>
      </w:r>
      <w:r w:rsidRPr="007A39D3">
        <w:t xml:space="preserve"> : </w:t>
      </w:r>
      <w:r w:rsidRPr="007A39D3">
        <w:rPr>
          <w:b/>
        </w:rPr>
        <w:t>14.0 m€</w:t>
      </w:r>
      <w:r w:rsidRPr="007A39D3">
        <w:t xml:space="preserve">. Elle correspond à l’offre actuelle de Séolis. </w:t>
      </w:r>
    </w:p>
    <w:p w:rsidR="00862815" w:rsidRPr="007A39D3" w:rsidRDefault="00862815" w:rsidP="00862815">
      <w:pPr>
        <w:pStyle w:val="Paragraphedeliste"/>
        <w:numPr>
          <w:ilvl w:val="0"/>
          <w:numId w:val="1"/>
        </w:numPr>
        <w:spacing w:after="240"/>
        <w:ind w:left="714" w:hanging="357"/>
        <w:jc w:val="both"/>
      </w:pPr>
      <w:r>
        <w:t xml:space="preserve">Rémunération de l’investissement au taux de rémunération des fonds propres de la </w:t>
      </w:r>
      <w:r w:rsidRPr="007A39D3">
        <w:t xml:space="preserve"> </w:t>
      </w:r>
      <w:r>
        <w:t xml:space="preserve">CRE, en prenant en compte les dates de </w:t>
      </w:r>
      <w:r w:rsidRPr="007A39D3">
        <w:t>décaissements réel</w:t>
      </w:r>
      <w:r>
        <w:t>le</w:t>
      </w:r>
      <w:r w:rsidRPr="007A39D3">
        <w:t xml:space="preserve">s : Si nous considérons une rétribution des fond propres de 10.92% (valeur de référence CRE en </w:t>
      </w:r>
      <w:proofErr w:type="spellStart"/>
      <w:r w:rsidRPr="007A39D3">
        <w:t>Turpe</w:t>
      </w:r>
      <w:proofErr w:type="spellEnd"/>
      <w:r w:rsidRPr="007A39D3">
        <w:t xml:space="preserve"> 2 et 3) et les décaissements réellement réalisées par Sorégies</w:t>
      </w:r>
      <w:r w:rsidRPr="007A39D3">
        <w:rPr>
          <w:rStyle w:val="Appelnotedebasdep"/>
        </w:rPr>
        <w:footnoteReference w:id="3"/>
      </w:r>
      <w:r w:rsidRPr="007A39D3">
        <w:t xml:space="preserve">, Sorégies pourrait réclamer une valeur pour sa participation en Séolis de </w:t>
      </w:r>
      <w:r w:rsidRPr="007A39D3">
        <w:rPr>
          <w:b/>
        </w:rPr>
        <w:t>14.6 m€</w:t>
      </w:r>
      <w:r w:rsidRPr="007A39D3">
        <w:t xml:space="preserve">. Cette valeur est parfaitement défendable : l’investissement de Sorégies est fait dans les fonds propres d’une entreprise qui obtient l’écrasante majorité de ses revenus de l’activité réglementée au </w:t>
      </w:r>
      <w:proofErr w:type="spellStart"/>
      <w:r w:rsidRPr="007A39D3">
        <w:t>Turpe</w:t>
      </w:r>
      <w:proofErr w:type="spellEnd"/>
      <w:r w:rsidRPr="007A39D3">
        <w:t xml:space="preserve"> 3. Les points faibles de cette valorisation sont : (i) que la valeur ne tient pas compte de la rentabilité inferieure de</w:t>
      </w:r>
      <w:r>
        <w:t>s autres activités de la société</w:t>
      </w:r>
      <w:r w:rsidRPr="007A39D3">
        <w:t xml:space="preserve">, (ii) que l’on considère seulement l’investissement en fonds </w:t>
      </w:r>
      <w:r w:rsidRPr="007A39D3">
        <w:lastRenderedPageBreak/>
        <w:t xml:space="preserve">propres (le taux pondéré de la CRE est de 7.25%), et (iii) que le taux de rentabilité de la CRE est théorique alors que les </w:t>
      </w:r>
      <w:proofErr w:type="spellStart"/>
      <w:r w:rsidRPr="007A39D3">
        <w:t>ELDs</w:t>
      </w:r>
      <w:proofErr w:type="spellEnd"/>
      <w:r w:rsidRPr="007A39D3">
        <w:t xml:space="preserve"> ruraux sont difficilement en mesure d’attendre ces niveaux de rentabilité.</w:t>
      </w:r>
    </w:p>
    <w:p w:rsidR="00862815" w:rsidRPr="007A39D3" w:rsidRDefault="00862815" w:rsidP="00862815">
      <w:pPr>
        <w:pStyle w:val="Paragraphedeliste"/>
        <w:numPr>
          <w:ilvl w:val="0"/>
          <w:numId w:val="1"/>
        </w:numPr>
        <w:spacing w:after="240"/>
        <w:ind w:left="714" w:hanging="357"/>
      </w:pPr>
      <w:r w:rsidRPr="007A39D3">
        <w:t xml:space="preserve">Rémunération de l’investissement au taux de rémunération des fonds propres de la  CRE, en supposant que l’investissement de 10.8m€ ait été entièrement libéré à la date contribution des actifs par le Sieds (21/12/2007). La valeur s’établit à </w:t>
      </w:r>
      <w:r w:rsidRPr="00631E36">
        <w:rPr>
          <w:b/>
        </w:rPr>
        <w:t>15.5 m€</w:t>
      </w:r>
      <w:r w:rsidRPr="007A39D3">
        <w:t xml:space="preserve">. </w:t>
      </w:r>
    </w:p>
    <w:p w:rsidR="00862815" w:rsidRPr="007A39D3" w:rsidRDefault="00862815" w:rsidP="00862815"/>
    <w:p w:rsidR="00862815" w:rsidRPr="007A39D3" w:rsidRDefault="00862815" w:rsidP="00862815">
      <w:pPr>
        <w:rPr>
          <w:b/>
          <w:sz w:val="24"/>
        </w:rPr>
      </w:pPr>
      <w:r w:rsidRPr="007A39D3">
        <w:rPr>
          <w:b/>
          <w:sz w:val="24"/>
        </w:rPr>
        <w:t>La proposition initiale de Sorégies</w:t>
      </w:r>
    </w:p>
    <w:p w:rsidR="00862815" w:rsidRPr="00BE184C" w:rsidRDefault="00862815" w:rsidP="00862815">
      <w:pPr>
        <w:spacing w:before="100" w:beforeAutospacing="1" w:after="100" w:afterAutospacing="1"/>
        <w:jc w:val="both"/>
      </w:pPr>
      <w:r w:rsidRPr="00BE184C">
        <w:t>L’offre réalisée par Sorégies le 18 d’avril dernier n’était pas basée sur la valeur marché de Séolis telle que réclamée historiquement par Sorégies. Officiellement, Sorégies acceptait de renoncer à une partie de cette « valeur de marché » pour réclamer une rémunération de portage de €15.5m telle que décrite ci-dessus,  plus des couts de portage de €1.0m. Les couts de portage représentaient un dédommagement pour sortie rapide, et représentaient une flexibilité pour une négociation.</w:t>
      </w:r>
    </w:p>
    <w:p w:rsidR="00862815" w:rsidRPr="00BE184C" w:rsidRDefault="00862815" w:rsidP="00862815">
      <w:pPr>
        <w:spacing w:before="100" w:beforeAutospacing="1" w:after="100" w:afterAutospacing="1"/>
        <w:jc w:val="both"/>
      </w:pPr>
      <w:r w:rsidRPr="00BE184C">
        <w:t>Cette stratégie d’optimisation de la valeur, en vendant la « concession » faite par Sorégies a été sur le point de marcher….… jusqu’à l’arrêt du TA, qui a clairement été catastrophique, tant sur le plan de la psychologie de Séolis, que sur nos options réelles (menaces de perte au TC + indemnisation à payer au Sieds potentiellement lourde au TC + actif plus dur à vendre sur le marché…)</w:t>
      </w:r>
    </w:p>
    <w:p w:rsidR="00862815" w:rsidRPr="00BE184C" w:rsidRDefault="00862815" w:rsidP="00862815">
      <w:pPr>
        <w:spacing w:before="100" w:beforeAutospacing="1" w:after="100" w:afterAutospacing="1"/>
        <w:jc w:val="both"/>
      </w:pPr>
      <w:r w:rsidRPr="00BE184C">
        <w:t>Sur la base de  cet arrêt, Séolis voit Sorégies comme un actionnaire minoritaire dépourvu de pacte d’actionnaires (donc à pouvoir d’action très limité) et de surcroît en position de faiblesse devant les tribunaux pour les procédures en cours et les recours à venir (dans les quelles Séolis va toujours faire valoir les antécédents déjà jugés dans les tribunaux)</w:t>
      </w:r>
    </w:p>
    <w:p w:rsidR="00862815" w:rsidRPr="00BE184C" w:rsidRDefault="00862815" w:rsidP="00862815">
      <w:pPr>
        <w:jc w:val="both"/>
      </w:pPr>
      <w:r w:rsidRPr="00BE184C">
        <w:t xml:space="preserve">Dans ces conditions, la seule force  -toute relative- de Sorégies est une capacité de nuisance dans les transformations à venir : cession de </w:t>
      </w:r>
      <w:proofErr w:type="spellStart"/>
      <w:r w:rsidRPr="00BE184C">
        <w:t>Gérédis</w:t>
      </w:r>
      <w:proofErr w:type="spellEnd"/>
      <w:r w:rsidRPr="00BE184C">
        <w:t xml:space="preserve"> au Sieds, entrée d’un partenaire industriel potentiel, transactions courantes entre Sieds/</w:t>
      </w:r>
      <w:proofErr w:type="spellStart"/>
      <w:r w:rsidRPr="00BE184C">
        <w:t>Gérédis</w:t>
      </w:r>
      <w:proofErr w:type="spellEnd"/>
      <w:r w:rsidRPr="00BE184C">
        <w:t>/Séolis où Sorégies, seul détenteurs d’actions B,  a le rôle d’arbitre en s’agissant de conventions réglementées.</w:t>
      </w:r>
    </w:p>
    <w:p w:rsidR="00862815" w:rsidRPr="00BE184C" w:rsidRDefault="00862815" w:rsidP="00862815">
      <w:pPr>
        <w:rPr>
          <w:b/>
          <w:sz w:val="24"/>
        </w:rPr>
      </w:pPr>
    </w:p>
    <w:p w:rsidR="00862815" w:rsidRPr="00BE184C" w:rsidRDefault="00862815" w:rsidP="00862815">
      <w:pPr>
        <w:rPr>
          <w:b/>
          <w:sz w:val="24"/>
        </w:rPr>
      </w:pPr>
      <w:r w:rsidRPr="00BE184C">
        <w:rPr>
          <w:b/>
          <w:sz w:val="24"/>
        </w:rPr>
        <w:t xml:space="preserve">Contre-proposition possible de </w:t>
      </w:r>
      <w:proofErr w:type="spellStart"/>
      <w:r w:rsidRPr="00BE184C">
        <w:rPr>
          <w:b/>
          <w:sz w:val="24"/>
        </w:rPr>
        <w:t>de</w:t>
      </w:r>
      <w:proofErr w:type="spellEnd"/>
      <w:r w:rsidRPr="00BE184C">
        <w:rPr>
          <w:b/>
          <w:sz w:val="24"/>
        </w:rPr>
        <w:t xml:space="preserve"> Sorégies</w:t>
      </w:r>
    </w:p>
    <w:p w:rsidR="00862815" w:rsidRDefault="00862815" w:rsidP="00862815">
      <w:r>
        <w:t>Afin d’essayer une ultime tentative pour améliorer la proposition du Sieds, Sorégies peut proposer deux chiffres :</w:t>
      </w:r>
    </w:p>
    <w:p w:rsidR="00862815" w:rsidRPr="00D631E4" w:rsidRDefault="00862815" w:rsidP="00862815">
      <w:pPr>
        <w:pStyle w:val="Paragraphedeliste"/>
        <w:numPr>
          <w:ilvl w:val="0"/>
          <w:numId w:val="2"/>
        </w:numPr>
        <w:jc w:val="both"/>
      </w:pPr>
      <w:r w:rsidRPr="00D631E4">
        <w:rPr>
          <w:b/>
        </w:rPr>
        <w:t>Offre la moins risquée</w:t>
      </w:r>
      <w:r w:rsidRPr="00D631E4">
        <w:t>. L’offre du Sieds paraît cohérente si nous considérons (i) qu’elle paie la valeur en fonds propres de la Société, (ii) que la plus-value dégagée par Sorégies lors de cette opération</w:t>
      </w:r>
      <w:r w:rsidRPr="00D631E4">
        <w:rPr>
          <w:rStyle w:val="Appelnotedebasdep"/>
        </w:rPr>
        <w:footnoteReference w:id="4"/>
      </w:r>
      <w:r w:rsidRPr="00D631E4">
        <w:t xml:space="preserve"> es de €3.2 m€, avec une rentabilité de 18.8% après frais de transaction, (iii) </w:t>
      </w:r>
      <w:r>
        <w:t xml:space="preserve">qu’elle </w:t>
      </w:r>
      <w:r w:rsidRPr="00D631E4">
        <w:t xml:space="preserve">évite les risques </w:t>
      </w:r>
      <w:r>
        <w:t>d’autres échecs devant</w:t>
      </w:r>
      <w:r w:rsidRPr="00D631E4">
        <w:t xml:space="preserve"> les tribunaux (spécialement le risque d’indemnisation au tribunal de commerce), et (iv)</w:t>
      </w:r>
      <w:r>
        <w:t xml:space="preserve"> que l’accord sur l’offre du</w:t>
      </w:r>
      <w:r w:rsidRPr="00D631E4">
        <w:t xml:space="preserve"> Sieds permet une sortie rapide d’un cauchemar qui dure plus de 3 ans</w:t>
      </w:r>
      <w:r>
        <w:t>.</w:t>
      </w:r>
    </w:p>
    <w:p w:rsidR="00862815" w:rsidRPr="00D631E4" w:rsidRDefault="00862815" w:rsidP="00862815">
      <w:pPr>
        <w:pStyle w:val="Paragraphedeliste"/>
        <w:numPr>
          <w:ilvl w:val="1"/>
          <w:numId w:val="2"/>
        </w:numPr>
        <w:jc w:val="both"/>
      </w:pPr>
      <w:r w:rsidRPr="00D631E4">
        <w:lastRenderedPageBreak/>
        <w:t>Si Sorégies veut maximiser ses chances de conclure une transaction avec le Sieds elle devrai</w:t>
      </w:r>
      <w:r>
        <w:t>t</w:t>
      </w:r>
      <w:r w:rsidRPr="00D631E4">
        <w:t xml:space="preserve"> faire une contre-offre, bien justifiée et  pas trop éloignée de la proposition de Séolis. Une proposition de fond propres (14.1m€) + frais réels de la transaction (3%) devrait être accepté par Séolis, soit une offre finale de 14.5 m€. Cette offre est </w:t>
      </w:r>
      <w:r>
        <w:t xml:space="preserve">également </w:t>
      </w:r>
      <w:r w:rsidRPr="00D631E4">
        <w:t xml:space="preserve">cohérente avec une demande de rémunération au </w:t>
      </w:r>
      <w:proofErr w:type="spellStart"/>
      <w:r w:rsidRPr="00D631E4">
        <w:t>Turpe</w:t>
      </w:r>
      <w:proofErr w:type="spellEnd"/>
      <w:r w:rsidRPr="00D631E4">
        <w:t xml:space="preserve"> 3 (€14.6m en tenant compte des dates réelles de décaissement</w:t>
      </w:r>
      <w:r>
        <w:t>, et sans considérer de frais de transaction</w:t>
      </w:r>
      <w:r w:rsidRPr="00D631E4">
        <w:t>).</w:t>
      </w:r>
    </w:p>
    <w:p w:rsidR="00862815" w:rsidRDefault="00862815" w:rsidP="00862815">
      <w:pPr>
        <w:pStyle w:val="Paragraphedeliste"/>
        <w:numPr>
          <w:ilvl w:val="1"/>
          <w:numId w:val="2"/>
        </w:numPr>
        <w:jc w:val="both"/>
      </w:pPr>
      <w:r w:rsidRPr="00D631E4">
        <w:t>Toutefois, Sorégies pourra se montrer ferme sur la clause de rétrocession telle que présentée dans l’offre initiale. Cette clause de rétrocession pourrait être échangé finalement pour un montant forfaitaire (i.e. 0.5 m€), pour nous amener à 15m€ total pour la vente.</w:t>
      </w:r>
    </w:p>
    <w:p w:rsidR="00862815" w:rsidRPr="00D631E4" w:rsidRDefault="00862815" w:rsidP="00862815">
      <w:pPr>
        <w:pStyle w:val="Paragraphedeliste"/>
        <w:ind w:left="1440"/>
        <w:jc w:val="both"/>
      </w:pPr>
    </w:p>
    <w:p w:rsidR="00862815" w:rsidRPr="001C5BD9" w:rsidRDefault="00862815" w:rsidP="00862815">
      <w:pPr>
        <w:pStyle w:val="Paragraphedeliste"/>
        <w:numPr>
          <w:ilvl w:val="0"/>
          <w:numId w:val="2"/>
        </w:numPr>
      </w:pPr>
      <w:r w:rsidRPr="001C5BD9">
        <w:rPr>
          <w:b/>
        </w:rPr>
        <w:t>Contre-offre plus agressive</w:t>
      </w:r>
      <w:r w:rsidRPr="001C5BD9">
        <w:t xml:space="preserve">. </w:t>
      </w:r>
    </w:p>
    <w:p w:rsidR="00862815" w:rsidRPr="001C5BD9" w:rsidRDefault="00862815" w:rsidP="00862815">
      <w:pPr>
        <w:pStyle w:val="Paragraphedeliste"/>
        <w:numPr>
          <w:ilvl w:val="1"/>
          <w:numId w:val="2"/>
        </w:numPr>
      </w:pPr>
      <w:r w:rsidRPr="001C5BD9">
        <w:t>Sorégies pourra faire une offre encore plus agressive comprenant la valeur CRE avec décaissements réels (14.6m€) plus couts réels de portage (0.4 m</w:t>
      </w:r>
      <w:proofErr w:type="gramStart"/>
      <w:r w:rsidRPr="001C5BD9">
        <w:t>€ )</w:t>
      </w:r>
      <w:proofErr w:type="gramEnd"/>
      <w:r w:rsidRPr="001C5BD9">
        <w:t>, soit une offre finale de 15.0m€</w:t>
      </w:r>
    </w:p>
    <w:p w:rsidR="00862815" w:rsidRPr="001C5BD9" w:rsidRDefault="00862815" w:rsidP="00862815">
      <w:pPr>
        <w:pStyle w:val="Paragraphedeliste"/>
        <w:numPr>
          <w:ilvl w:val="1"/>
          <w:numId w:val="2"/>
        </w:numPr>
        <w:jc w:val="both"/>
      </w:pPr>
      <w:r w:rsidRPr="001C5BD9">
        <w:t>Si, même avec cette décote,  l’offre n’est pas retenue par Séolis, Sorégies est alors libre de vendre à un tiers et comptera avec tous les appuis politiques nécessaires.</w:t>
      </w:r>
    </w:p>
    <w:p w:rsidR="00862815" w:rsidRDefault="00862815" w:rsidP="00862815">
      <w:pPr>
        <w:pStyle w:val="Paragraphedeliste"/>
        <w:numPr>
          <w:ilvl w:val="1"/>
          <w:numId w:val="2"/>
        </w:numPr>
        <w:jc w:val="both"/>
      </w:pPr>
      <w:r w:rsidRPr="001C5BD9">
        <w:t>Cette vente prendra  plusieurs mois et le système d’agrément prévu dans les statuts de Séolis  donnera des possibilités additionnelles de nuisance à Séolis dans le processus de vente.</w:t>
      </w:r>
      <w:r>
        <w:t xml:space="preserve"> </w:t>
      </w:r>
    </w:p>
    <w:p w:rsidR="00862815" w:rsidRDefault="00862815" w:rsidP="00862815">
      <w:pPr>
        <w:rPr>
          <w:b/>
          <w:sz w:val="24"/>
        </w:rPr>
      </w:pPr>
      <w:bookmarkStart w:id="0" w:name="_GoBack"/>
      <w:bookmarkEnd w:id="0"/>
    </w:p>
    <w:p w:rsidR="00862815" w:rsidRPr="001E0C62" w:rsidRDefault="00862815" w:rsidP="00862815">
      <w:pPr>
        <w:rPr>
          <w:b/>
          <w:sz w:val="24"/>
        </w:rPr>
      </w:pPr>
      <w:r w:rsidRPr="001E0C62">
        <w:rPr>
          <w:b/>
          <w:sz w:val="24"/>
        </w:rPr>
        <w:t>Conclusion</w:t>
      </w:r>
    </w:p>
    <w:p w:rsidR="00862815" w:rsidRDefault="00862815" w:rsidP="00862815">
      <w:pPr>
        <w:jc w:val="both"/>
      </w:pPr>
      <w:r>
        <w:t xml:space="preserve">Selon le degré de risque que souhaite prendre Sorégies quant à l’acceptation de son offre par le Sieds, une contre-offre située entre €14.5m et €15.0m semble adéquate. Dans le cas où Séolis refuserait de faire évoluer sa position, une tentative de mobilisation des réseaux politiques de Sorégies et du </w:t>
      </w:r>
      <w:proofErr w:type="spellStart"/>
      <w:r>
        <w:t>Sieedv</w:t>
      </w:r>
      <w:proofErr w:type="spellEnd"/>
      <w:r>
        <w:t xml:space="preserve"> pourra alors être envisagée.</w:t>
      </w:r>
    </w:p>
    <w:p w:rsidR="00862815" w:rsidRPr="001C5BD9" w:rsidRDefault="00862815" w:rsidP="00862815">
      <w:pPr>
        <w:jc w:val="both"/>
      </w:pPr>
    </w:p>
    <w:p w:rsidR="00862815" w:rsidRDefault="00862815" w:rsidP="00862815">
      <w:r w:rsidRPr="001C5BD9">
        <w:t xml:space="preserve"> </w:t>
      </w:r>
    </w:p>
    <w:p w:rsidR="00862815" w:rsidRDefault="00862815" w:rsidP="00862815"/>
    <w:p w:rsidR="00862815" w:rsidRDefault="00862815" w:rsidP="00862815"/>
    <w:p w:rsidR="00862815" w:rsidRDefault="00862815" w:rsidP="00862815"/>
    <w:p w:rsidR="00862815" w:rsidRPr="001C5BD9" w:rsidRDefault="00862815" w:rsidP="00862815">
      <w:r>
        <w:t>Montesson, 15 mai 2011</w:t>
      </w:r>
    </w:p>
    <w:p w:rsidR="00862815" w:rsidRDefault="00862815" w:rsidP="00862815">
      <w:pPr>
        <w:pStyle w:val="Paragraphedeliste"/>
      </w:pPr>
    </w:p>
    <w:p w:rsidR="00862815" w:rsidRDefault="00862815" w:rsidP="00862815">
      <w:r>
        <w:t xml:space="preserve"> </w:t>
      </w:r>
    </w:p>
    <w:p w:rsidR="00862815" w:rsidRPr="00465F28" w:rsidRDefault="00862815" w:rsidP="00862815"/>
    <w:p w:rsidR="00C234B2" w:rsidRDefault="00C234B2"/>
    <w:sectPr w:rsidR="00C234B2" w:rsidSect="00014B8F">
      <w:headerReference w:type="default" r:id="rId8"/>
      <w:footerReference w:type="default" r:id="rId9"/>
      <w:pgSz w:w="11906" w:h="16838"/>
      <w:pgMar w:top="1418" w:right="1418" w:bottom="1134" w:left="1418" w:header="709" w:footer="79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4AE8" w:rsidRDefault="00B44AE8" w:rsidP="00C97B7E">
      <w:pPr>
        <w:spacing w:after="0" w:line="240" w:lineRule="auto"/>
      </w:pPr>
      <w:r>
        <w:separator/>
      </w:r>
    </w:p>
  </w:endnote>
  <w:endnote w:type="continuationSeparator" w:id="0">
    <w:p w:rsidR="00B44AE8" w:rsidRDefault="00B44AE8" w:rsidP="00C97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B7E" w:rsidRPr="00E455EC" w:rsidRDefault="00C97B7E" w:rsidP="00C97B7E">
    <w:pPr>
      <w:pStyle w:val="Pieddepage"/>
      <w:jc w:val="center"/>
      <w:rPr>
        <w:color w:val="17365D"/>
        <w:sz w:val="16"/>
      </w:rPr>
    </w:pPr>
    <w:r w:rsidRPr="00E455EC">
      <w:rPr>
        <w:color w:val="17365D"/>
        <w:sz w:val="16"/>
      </w:rPr>
      <w:t xml:space="preserve">Haya </w:t>
    </w:r>
    <w:proofErr w:type="spellStart"/>
    <w:r w:rsidRPr="00E455EC">
      <w:rPr>
        <w:color w:val="17365D"/>
        <w:sz w:val="16"/>
      </w:rPr>
      <w:t>Energy</w:t>
    </w:r>
    <w:proofErr w:type="spellEnd"/>
    <w:r w:rsidRPr="00E455EC">
      <w:rPr>
        <w:color w:val="17365D"/>
        <w:sz w:val="16"/>
      </w:rPr>
      <w:t xml:space="preserve"> Solutions Soci</w:t>
    </w:r>
    <w:r>
      <w:rPr>
        <w:color w:val="17365D"/>
        <w:sz w:val="16"/>
      </w:rPr>
      <w:t>é</w:t>
    </w:r>
    <w:r w:rsidRPr="00E455EC">
      <w:rPr>
        <w:color w:val="17365D"/>
        <w:sz w:val="16"/>
      </w:rPr>
      <w:t xml:space="preserve">té </w:t>
    </w:r>
    <w:r>
      <w:rPr>
        <w:color w:val="17365D"/>
        <w:sz w:val="16"/>
      </w:rPr>
      <w:t>par Actions</w:t>
    </w:r>
    <w:r w:rsidRPr="00E455EC">
      <w:rPr>
        <w:color w:val="17365D"/>
        <w:sz w:val="16"/>
      </w:rPr>
      <w:t xml:space="preserve"> Simplifié</w:t>
    </w:r>
    <w:r>
      <w:rPr>
        <w:color w:val="17365D"/>
        <w:sz w:val="16"/>
      </w:rPr>
      <w:t>e</w:t>
    </w:r>
    <w:r w:rsidRPr="00E455EC">
      <w:rPr>
        <w:color w:val="17365D"/>
        <w:sz w:val="16"/>
      </w:rPr>
      <w:t xml:space="preserve"> </w:t>
    </w:r>
    <w:r>
      <w:rPr>
        <w:color w:val="17365D"/>
        <w:sz w:val="16"/>
      </w:rPr>
      <w:t>au</w:t>
    </w:r>
    <w:r w:rsidRPr="00E455EC">
      <w:rPr>
        <w:color w:val="17365D"/>
        <w:sz w:val="16"/>
      </w:rPr>
      <w:t xml:space="preserve"> </w:t>
    </w:r>
    <w:r>
      <w:rPr>
        <w:color w:val="17365D"/>
        <w:sz w:val="16"/>
      </w:rPr>
      <w:t>c</w:t>
    </w:r>
    <w:r w:rsidRPr="00E455EC">
      <w:rPr>
        <w:color w:val="17365D"/>
        <w:sz w:val="16"/>
      </w:rPr>
      <w:t xml:space="preserve">apital </w:t>
    </w:r>
    <w:r>
      <w:rPr>
        <w:color w:val="17365D"/>
        <w:sz w:val="16"/>
      </w:rPr>
      <w:t xml:space="preserve">social de </w:t>
    </w:r>
    <w:r w:rsidRPr="00E455EC">
      <w:rPr>
        <w:color w:val="17365D"/>
        <w:sz w:val="16"/>
      </w:rPr>
      <w:t>5.000€</w:t>
    </w:r>
  </w:p>
  <w:p w:rsidR="00C97B7E" w:rsidRPr="00E455EC" w:rsidRDefault="00C97B7E" w:rsidP="00C97B7E">
    <w:pPr>
      <w:pStyle w:val="Pieddepage"/>
      <w:jc w:val="center"/>
      <w:rPr>
        <w:color w:val="17365D"/>
        <w:sz w:val="16"/>
      </w:rPr>
    </w:pPr>
    <w:r w:rsidRPr="00E455EC">
      <w:rPr>
        <w:color w:val="17365D"/>
        <w:sz w:val="16"/>
      </w:rPr>
      <w:t xml:space="preserve"> Si</w:t>
    </w:r>
    <w:r>
      <w:rPr>
        <w:color w:val="17365D"/>
        <w:sz w:val="16"/>
      </w:rPr>
      <w:t>è</w:t>
    </w:r>
    <w:r w:rsidRPr="00E455EC">
      <w:rPr>
        <w:color w:val="17365D"/>
        <w:sz w:val="16"/>
      </w:rPr>
      <w:t xml:space="preserve">ge </w:t>
    </w:r>
    <w:r>
      <w:rPr>
        <w:color w:val="17365D"/>
        <w:sz w:val="16"/>
      </w:rPr>
      <w:t>s</w:t>
    </w:r>
    <w:r w:rsidRPr="00E455EC">
      <w:rPr>
        <w:color w:val="17365D"/>
        <w:sz w:val="16"/>
      </w:rPr>
      <w:t>ocial 37, Rue des merlettes 78360 Montesson.</w:t>
    </w:r>
  </w:p>
  <w:p w:rsidR="00C97B7E" w:rsidRPr="00C97B7E" w:rsidRDefault="00C97B7E" w:rsidP="00C97B7E">
    <w:pPr>
      <w:pStyle w:val="Pieddepage"/>
      <w:jc w:val="center"/>
      <w:rPr>
        <w:color w:val="17365D"/>
        <w:sz w:val="16"/>
      </w:rPr>
    </w:pPr>
    <w:r w:rsidRPr="00E455EC">
      <w:rPr>
        <w:color w:val="17365D"/>
        <w:sz w:val="16"/>
      </w:rPr>
      <w:t xml:space="preserve"> RCS Versailles 529 779 373,  SIRET 52977937300016, TVA FR18529779373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4AE8" w:rsidRDefault="00B44AE8" w:rsidP="00C97B7E">
      <w:pPr>
        <w:spacing w:after="0" w:line="240" w:lineRule="auto"/>
      </w:pPr>
      <w:r>
        <w:separator/>
      </w:r>
    </w:p>
  </w:footnote>
  <w:footnote w:type="continuationSeparator" w:id="0">
    <w:p w:rsidR="00B44AE8" w:rsidRDefault="00B44AE8" w:rsidP="00C97B7E">
      <w:pPr>
        <w:spacing w:after="0" w:line="240" w:lineRule="auto"/>
      </w:pPr>
      <w:r>
        <w:continuationSeparator/>
      </w:r>
    </w:p>
  </w:footnote>
  <w:footnote w:id="1">
    <w:p w:rsidR="00862815" w:rsidRDefault="00862815" w:rsidP="00862815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proofErr w:type="gramStart"/>
      <w:r w:rsidRPr="00180075">
        <w:t>source</w:t>
      </w:r>
      <w:proofErr w:type="gramEnd"/>
      <w:r w:rsidRPr="00180075">
        <w:t> </w:t>
      </w:r>
      <w:r>
        <w:t>: direction financière Sorégies</w:t>
      </w:r>
    </w:p>
  </w:footnote>
  <w:footnote w:id="2">
    <w:p w:rsidR="00862815" w:rsidRDefault="00862815" w:rsidP="00862815">
      <w:pPr>
        <w:pStyle w:val="Notedebasdepage"/>
      </w:pPr>
      <w:r>
        <w:rPr>
          <w:rStyle w:val="Appelnotedebasdep"/>
        </w:rPr>
        <w:footnoteRef/>
      </w:r>
      <w:r>
        <w:t xml:space="preserve"> Le résultat utilisé pour simuler les 6 premiers mois de l’année 2011 correspondent à la moitié du résultat net consolidé du groupe Séolis pour 2010 (incluant </w:t>
      </w:r>
      <w:proofErr w:type="spellStart"/>
      <w:r>
        <w:t>Gérédis</w:t>
      </w:r>
      <w:proofErr w:type="spellEnd"/>
      <w:r>
        <w:t>).</w:t>
      </w:r>
    </w:p>
  </w:footnote>
  <w:footnote w:id="3">
    <w:p w:rsidR="00862815" w:rsidRDefault="00862815" w:rsidP="00862815">
      <w:pPr>
        <w:pStyle w:val="Notedebasdepage"/>
      </w:pPr>
      <w:r>
        <w:rPr>
          <w:rStyle w:val="Appelnotedebasdep"/>
        </w:rPr>
        <w:footnoteRef/>
      </w:r>
      <w:r>
        <w:t xml:space="preserve"> €2.7m au 21/12/2007 et €8.1m au 07/11/2008</w:t>
      </w:r>
    </w:p>
    <w:p w:rsidR="00862815" w:rsidRDefault="00862815" w:rsidP="00862815">
      <w:pPr>
        <w:pStyle w:val="Notedebasdepage"/>
      </w:pPr>
    </w:p>
  </w:footnote>
  <w:footnote w:id="4">
    <w:p w:rsidR="00862815" w:rsidRPr="003C15FB" w:rsidRDefault="00862815" w:rsidP="00862815">
      <w:pPr>
        <w:pStyle w:val="Notedebasdepage"/>
        <w:rPr>
          <w:lang w:val="es-ES"/>
        </w:rPr>
      </w:pPr>
      <w:r>
        <w:rPr>
          <w:rStyle w:val="Appelnotedebasdep"/>
        </w:rPr>
        <w:footnoteRef/>
      </w:r>
      <w:r w:rsidRPr="00631E36">
        <w:t xml:space="preserve"> Compte tenu des dates de décaissements réelles et d’un endettement de €8.1m souscrit par Sorégies. </w:t>
      </w:r>
      <w:r>
        <w:rPr>
          <w:lang w:val="es-ES"/>
        </w:rPr>
        <w:t xml:space="preserve">Date de </w:t>
      </w:r>
      <w:proofErr w:type="spellStart"/>
      <w:r>
        <w:rPr>
          <w:lang w:val="es-ES"/>
        </w:rPr>
        <w:t>transaction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supposée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au</w:t>
      </w:r>
      <w:proofErr w:type="spellEnd"/>
      <w:r>
        <w:rPr>
          <w:lang w:val="es-ES"/>
        </w:rPr>
        <w:t xml:space="preserve"> 30/6/2011</w:t>
      </w:r>
      <w:r w:rsidRPr="003C15FB">
        <w:rPr>
          <w:lang w:val="es-ES"/>
        </w:rPr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B7E" w:rsidRDefault="00C97B7E">
    <w:pPr>
      <w:pStyle w:val="En-tte"/>
    </w:pPr>
    <w:proofErr w:type="spellStart"/>
    <w:r w:rsidRPr="0015738A">
      <w:rPr>
        <w:color w:val="17365D"/>
        <w:sz w:val="36"/>
        <w:lang w:val="en-US"/>
      </w:rPr>
      <w:t>Haya</w:t>
    </w:r>
    <w:proofErr w:type="spellEnd"/>
    <w:r w:rsidRPr="0015738A">
      <w:rPr>
        <w:color w:val="17365D"/>
        <w:sz w:val="36"/>
        <w:lang w:val="en-US"/>
      </w:rPr>
      <w:t xml:space="preserve"> </w:t>
    </w:r>
    <w:r w:rsidRPr="0015738A">
      <w:rPr>
        <w:b/>
        <w:bCs/>
        <w:color w:val="17365D"/>
        <w:sz w:val="36"/>
        <w:lang w:val="en-US"/>
      </w:rPr>
      <w:t xml:space="preserve">Energy </w:t>
    </w:r>
    <w:r w:rsidRPr="0015738A">
      <w:rPr>
        <w:color w:val="17365D"/>
        <w:sz w:val="36"/>
        <w:lang w:val="en-US"/>
      </w:rPr>
      <w:t xml:space="preserve">Solutions </w:t>
    </w:r>
    <w:r w:rsidRPr="0015738A">
      <w:rPr>
        <w:color w:val="17365D"/>
        <w:sz w:val="36"/>
        <w:lang w:val="en-US"/>
      </w:rPr>
      <w:sym w:font="Webdings" w:char="00F0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302B3"/>
    <w:multiLevelType w:val="hybridMultilevel"/>
    <w:tmpl w:val="6BE0E3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CA7224"/>
    <w:multiLevelType w:val="hybridMultilevel"/>
    <w:tmpl w:val="B8DC486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D4E67"/>
    <w:rsid w:val="00014B8F"/>
    <w:rsid w:val="000D4E67"/>
    <w:rsid w:val="002D3DFC"/>
    <w:rsid w:val="00444A07"/>
    <w:rsid w:val="00862815"/>
    <w:rsid w:val="009D3295"/>
    <w:rsid w:val="00B44AE8"/>
    <w:rsid w:val="00C234B2"/>
    <w:rsid w:val="00C97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8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C97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97B7E"/>
  </w:style>
  <w:style w:type="paragraph" w:styleId="Pieddepage">
    <w:name w:val="footer"/>
    <w:basedOn w:val="Normal"/>
    <w:link w:val="PieddepageCar"/>
    <w:uiPriority w:val="99"/>
    <w:semiHidden/>
    <w:unhideWhenUsed/>
    <w:rsid w:val="00C97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97B7E"/>
  </w:style>
  <w:style w:type="paragraph" w:styleId="Paragraphedeliste">
    <w:name w:val="List Paragraph"/>
    <w:basedOn w:val="Normal"/>
    <w:uiPriority w:val="34"/>
    <w:qFormat/>
    <w:rsid w:val="00862815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6281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6281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62815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62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28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S\AppData\Roaming\Microsoft\Templates\Papier%20en%20Tete%20HES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HAYA\HAYA%202009-2010\Seolis\offre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3"/>
  <c:chart>
    <c:title>
      <c:tx>
        <c:rich>
          <a:bodyPr/>
          <a:lstStyle/>
          <a:p>
            <a:pPr>
              <a:defRPr sz="1400"/>
            </a:pPr>
            <a:r>
              <a:rPr lang="fr-FR" sz="1400"/>
              <a:t>Valorisation 15% Séolis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cat>
            <c:strRef>
              <c:f>Feuil1!$C$17:$C$23</c:f>
              <c:strCache>
                <c:ptCount val="7"/>
                <c:pt idx="0">
                  <c:v>Offre Séolis 6/05/2011</c:v>
                </c:pt>
                <c:pt idx="1">
                  <c:v>Offre Séolis 13/05/2011</c:v>
                </c:pt>
                <c:pt idx="2">
                  <c:v>Valeur en Bilan Sorégies</c:v>
                </c:pt>
                <c:pt idx="3">
                  <c:v>Fonds Propres consolidés de Séolis</c:v>
                </c:pt>
                <c:pt idx="4">
                  <c:v>Retribution CRE selon decaissent reel</c:v>
                </c:pt>
                <c:pt idx="5">
                  <c:v>Retribution CRE  si investis. 10,8m€ en  2007</c:v>
                </c:pt>
                <c:pt idx="6">
                  <c:v>Offre Soregies 18/04/2011</c:v>
                </c:pt>
              </c:strCache>
            </c:strRef>
          </c:cat>
          <c:val>
            <c:numRef>
              <c:f>Feuil1!$D$17:$D$23</c:f>
              <c:numCache>
                <c:formatCode>0.0</c:formatCode>
                <c:ptCount val="7"/>
                <c:pt idx="0">
                  <c:v>13.5</c:v>
                </c:pt>
                <c:pt idx="1">
                  <c:v>14</c:v>
                </c:pt>
                <c:pt idx="2">
                  <c:v>13.8</c:v>
                </c:pt>
                <c:pt idx="3">
                  <c:v>14.1</c:v>
                </c:pt>
                <c:pt idx="4">
                  <c:v>14.6</c:v>
                </c:pt>
                <c:pt idx="5">
                  <c:v>15.5</c:v>
                </c:pt>
                <c:pt idx="6">
                  <c:v>16.5</c:v>
                </c:pt>
              </c:numCache>
            </c:numRef>
          </c:val>
        </c:ser>
        <c:dLbls>
          <c:showVal val="1"/>
        </c:dLbls>
        <c:overlap val="-25"/>
        <c:axId val="154621440"/>
        <c:axId val="154663936"/>
      </c:barChart>
      <c:catAx>
        <c:axId val="154621440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700"/>
            </a:pPr>
            <a:endParaRPr lang="fr-FR"/>
          </a:p>
        </c:txPr>
        <c:crossAx val="154663936"/>
        <c:crosses val="autoZero"/>
        <c:auto val="1"/>
        <c:lblAlgn val="ctr"/>
        <c:lblOffset val="100"/>
      </c:catAx>
      <c:valAx>
        <c:axId val="154663936"/>
        <c:scaling>
          <c:orientation val="minMax"/>
          <c:min val="11"/>
        </c:scaling>
        <c:delete val="1"/>
        <c:axPos val="l"/>
        <c:numFmt formatCode="0.0" sourceLinked="1"/>
        <c:tickLblPos val="none"/>
        <c:crossAx val="154621440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Papier en Tete HES</Template>
  <TotalTime>3</TotalTime>
  <Pages>4</Pages>
  <Words>918</Words>
  <Characters>5051</Characters>
  <Application>Microsoft Office Word</Application>
  <DocSecurity>0</DocSecurity>
  <Lines>42</Lines>
  <Paragraphs>11</Paragraphs>
  <ScaleCrop>false</ScaleCrop>
  <Company/>
  <LinksUpToDate>false</LinksUpToDate>
  <CharactersWithSpaces>5958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AHS</dc:creator>
  <cp:lastModifiedBy>AHS</cp:lastModifiedBy>
  <cp:revision>2</cp:revision>
  <dcterms:created xsi:type="dcterms:W3CDTF">2011-05-15T20:49:00Z</dcterms:created>
  <dcterms:modified xsi:type="dcterms:W3CDTF">2011-05-15T20:53:00Z</dcterms:modified>
</cp:coreProperties>
</file>