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A9E" w:rsidRPr="00F745FA" w:rsidRDefault="006C0114" w:rsidP="00F745FA">
      <w:pPr>
        <w:jc w:val="center"/>
        <w:rPr>
          <w:sz w:val="24"/>
        </w:rPr>
      </w:pPr>
      <w:r w:rsidRPr="00F745FA">
        <w:rPr>
          <w:sz w:val="24"/>
        </w:rPr>
        <w:t>Projet Alice</w:t>
      </w:r>
    </w:p>
    <w:p w:rsidR="006C0114" w:rsidRPr="00F745FA" w:rsidRDefault="006C0114" w:rsidP="00F745FA">
      <w:pPr>
        <w:jc w:val="center"/>
        <w:rPr>
          <w:sz w:val="24"/>
        </w:rPr>
      </w:pPr>
      <w:r w:rsidRPr="00F745FA">
        <w:rPr>
          <w:sz w:val="24"/>
        </w:rPr>
        <w:t>14/05/2011</w:t>
      </w:r>
    </w:p>
    <w:p w:rsidR="006C0114" w:rsidRDefault="006C0114"/>
    <w:p w:rsidR="006C0114" w:rsidRPr="00F745FA" w:rsidRDefault="00F745FA">
      <w:pPr>
        <w:rPr>
          <w:b/>
        </w:rPr>
      </w:pPr>
      <w:r>
        <w:rPr>
          <w:b/>
          <w:sz w:val="24"/>
        </w:rPr>
        <w:t>Prix</w:t>
      </w:r>
      <w:r w:rsidR="006C0114" w:rsidRPr="00F745FA">
        <w:rPr>
          <w:b/>
          <w:sz w:val="24"/>
        </w:rPr>
        <w:t xml:space="preserve"> du 15% de Séolis</w:t>
      </w:r>
    </w:p>
    <w:p w:rsidR="006C0114" w:rsidRDefault="006C0114">
      <w:r>
        <w:t xml:space="preserve">Dans le </w:t>
      </w:r>
      <w:r w:rsidR="001C1FD1">
        <w:t>graphique</w:t>
      </w:r>
      <w:r>
        <w:t xml:space="preserve"> suivant sont </w:t>
      </w:r>
      <w:r w:rsidR="00F745FA">
        <w:t>résumées</w:t>
      </w:r>
      <w:r>
        <w:t xml:space="preserve"> les </w:t>
      </w:r>
      <w:r w:rsidR="00F745FA">
        <w:t xml:space="preserve">offres de </w:t>
      </w:r>
      <w:r w:rsidR="005C4112">
        <w:t>Séolis</w:t>
      </w:r>
      <w:r w:rsidR="00F745FA">
        <w:t xml:space="preserve"> et </w:t>
      </w:r>
      <w:r w:rsidR="005C4112">
        <w:t>Sorégies</w:t>
      </w:r>
      <w:r w:rsidR="00F745FA">
        <w:t xml:space="preserve"> sur la valeur d’</w:t>
      </w:r>
      <w:r w:rsidR="005C4112">
        <w:t>échange</w:t>
      </w:r>
      <w:r w:rsidR="00F745FA">
        <w:t xml:space="preserve"> de la participation que </w:t>
      </w:r>
      <w:r w:rsidR="005C4112">
        <w:t>Sorégies</w:t>
      </w:r>
      <w:r w:rsidR="00F745FA">
        <w:t xml:space="preserve"> </w:t>
      </w:r>
      <w:r w:rsidR="005C4112">
        <w:t>détient</w:t>
      </w:r>
      <w:r w:rsidR="00F745FA">
        <w:t xml:space="preserve"> en </w:t>
      </w:r>
      <w:r w:rsidR="005C4112">
        <w:t>Séolis</w:t>
      </w:r>
      <w:r w:rsidR="00F745FA">
        <w:t xml:space="preserve">, et </w:t>
      </w:r>
      <w:r w:rsidR="001C1FD1">
        <w:t xml:space="preserve">sont également montrés </w:t>
      </w:r>
      <w:r w:rsidR="00F745FA">
        <w:t xml:space="preserve">différentes </w:t>
      </w:r>
      <w:r w:rsidR="005C4112">
        <w:t>valorisations qui</w:t>
      </w:r>
      <w:r w:rsidR="00F745FA">
        <w:t xml:space="preserve"> </w:t>
      </w:r>
      <w:r w:rsidR="001C1FD1">
        <w:t>pourraient</w:t>
      </w:r>
      <w:r w:rsidR="00F745FA">
        <w:t xml:space="preserve"> </w:t>
      </w:r>
      <w:r w:rsidR="005C4112">
        <w:t>être</w:t>
      </w:r>
      <w:r w:rsidR="00F745FA">
        <w:t xml:space="preserve"> employés comme </w:t>
      </w:r>
      <w:r w:rsidR="005C4112">
        <w:t>référence</w:t>
      </w:r>
      <w:r w:rsidR="001C1FD1">
        <w:t xml:space="preserve"> </w:t>
      </w:r>
      <w:r>
        <w:t>:</w:t>
      </w:r>
    </w:p>
    <w:p w:rsidR="006C0114" w:rsidRDefault="006C0114"/>
    <w:p w:rsidR="006C0114" w:rsidRDefault="002026D2" w:rsidP="006C0114">
      <w:pPr>
        <w:jc w:val="center"/>
      </w:pPr>
      <w:r>
        <w:rPr>
          <w:noProof/>
          <w:lang w:eastAsia="fr-FR"/>
        </w:rPr>
        <w:pict>
          <v:roundrect id="_x0000_s1026" style="position:absolute;left:0;text-align:left;margin-left:159.4pt;margin-top:36.35pt;width:183.75pt;height:127.3pt;z-index:251658240" arcsize="10923f" filled="f" strokecolor="red">
            <v:stroke dashstyle="1 1"/>
          </v:roundrect>
        </w:pict>
      </w:r>
      <w:r w:rsidR="006C0114" w:rsidRPr="006C0114">
        <w:rPr>
          <w:noProof/>
          <w:lang w:eastAsia="fr-FR"/>
        </w:rPr>
        <w:drawing>
          <wp:inline distT="0" distB="0" distL="0" distR="0">
            <wp:extent cx="4410075" cy="2133600"/>
            <wp:effectExtent l="19050" t="0" r="9525"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C0114" w:rsidRDefault="006C0114" w:rsidP="006C0114">
      <w:pPr>
        <w:jc w:val="center"/>
      </w:pPr>
    </w:p>
    <w:p w:rsidR="006C0114" w:rsidRDefault="00F745FA" w:rsidP="006C0114">
      <w:r>
        <w:t xml:space="preserve">Il </w:t>
      </w:r>
      <w:r w:rsidR="006C0114">
        <w:t xml:space="preserve">vaut la peine </w:t>
      </w:r>
      <w:r>
        <w:t>d’analyser</w:t>
      </w:r>
      <w:r w:rsidR="006C0114">
        <w:t xml:space="preserve"> plus en </w:t>
      </w:r>
      <w:r>
        <w:t>détail</w:t>
      </w:r>
      <w:r w:rsidR="006C0114">
        <w:t xml:space="preserve"> </w:t>
      </w:r>
      <w:r>
        <w:t>c</w:t>
      </w:r>
      <w:r w:rsidR="006C0114">
        <w:t xml:space="preserve">es </w:t>
      </w:r>
      <w:r w:rsidR="005C4112">
        <w:t>différentes</w:t>
      </w:r>
      <w:r w:rsidR="006C0114">
        <w:t xml:space="preserve"> </w:t>
      </w:r>
      <w:r>
        <w:t>références</w:t>
      </w:r>
      <w:r w:rsidR="006C0114">
        <w:t> :</w:t>
      </w:r>
    </w:p>
    <w:p w:rsidR="006C0114" w:rsidRDefault="006C0114" w:rsidP="001C1FD1">
      <w:pPr>
        <w:pStyle w:val="Paragraphedeliste"/>
        <w:numPr>
          <w:ilvl w:val="0"/>
          <w:numId w:val="1"/>
        </w:numPr>
        <w:spacing w:before="120" w:after="240"/>
        <w:ind w:left="714" w:hanging="357"/>
      </w:pPr>
      <w:r>
        <w:t>Valeur en Bilan de Sorégies  (</w:t>
      </w:r>
      <w:r w:rsidRPr="001C1FD1">
        <w:rPr>
          <w:b/>
        </w:rPr>
        <w:t>13.8 m€</w:t>
      </w:r>
      <w:r>
        <w:t>):</w:t>
      </w:r>
      <w:r w:rsidRPr="00D25F9A">
        <w:rPr>
          <w:color w:val="FF0000"/>
        </w:rPr>
        <w:t xml:space="preserve"> </w:t>
      </w:r>
      <w:r w:rsidR="001C1FD1">
        <w:rPr>
          <w:color w:val="FF0000"/>
        </w:rPr>
        <w:t>nombrar fuente ie budget soregies date…</w:t>
      </w:r>
      <w:r w:rsidR="00D25F9A">
        <w:rPr>
          <w:color w:val="FF0000"/>
        </w:rPr>
        <w:t>.</w:t>
      </w:r>
      <w:r>
        <w:t xml:space="preserve"> Une vent</w:t>
      </w:r>
      <w:r w:rsidR="00F745FA">
        <w:t xml:space="preserve">e au dessous de cette valeur </w:t>
      </w:r>
      <w:r>
        <w:t>implique</w:t>
      </w:r>
      <w:r w:rsidR="00F745FA">
        <w:t xml:space="preserve"> une perte dans le compte de resultat de</w:t>
      </w:r>
      <w:r>
        <w:t xml:space="preserve"> </w:t>
      </w:r>
      <w:r w:rsidR="00F745FA">
        <w:t xml:space="preserve">Sorégies. </w:t>
      </w:r>
    </w:p>
    <w:p w:rsidR="006C0114" w:rsidRDefault="006C0114" w:rsidP="00D25F9A">
      <w:pPr>
        <w:pStyle w:val="Paragraphedeliste"/>
        <w:numPr>
          <w:ilvl w:val="0"/>
          <w:numId w:val="1"/>
        </w:numPr>
        <w:spacing w:after="240"/>
        <w:ind w:left="714" w:hanging="357"/>
      </w:pPr>
      <w:r>
        <w:t xml:space="preserve">Valeur de 15% </w:t>
      </w:r>
      <w:r w:rsidR="00F745FA">
        <w:t>Séolis</w:t>
      </w:r>
      <w:r>
        <w:t xml:space="preserve"> en </w:t>
      </w:r>
      <w:r w:rsidR="00F745FA">
        <w:t>considérant</w:t>
      </w:r>
      <w:r>
        <w:t xml:space="preserve"> la valeur </w:t>
      </w:r>
      <w:r w:rsidR="00F745FA">
        <w:t>théorique</w:t>
      </w:r>
      <w:r>
        <w:t xml:space="preserve"> des fonds propres de </w:t>
      </w:r>
      <w:r w:rsidR="00F745FA">
        <w:t>Séolis</w:t>
      </w:r>
      <w:r>
        <w:t xml:space="preserve"> a 30/6/2011</w:t>
      </w:r>
      <w:r w:rsidRPr="001C1FD1">
        <w:footnoteReference w:id="1"/>
      </w:r>
      <w:r w:rsidR="00D25F9A">
        <w:t xml:space="preserve"> (</w:t>
      </w:r>
      <w:r w:rsidR="00D25F9A" w:rsidRPr="001C1FD1">
        <w:rPr>
          <w:b/>
        </w:rPr>
        <w:t>14.1 m€</w:t>
      </w:r>
      <w:r w:rsidR="00D25F9A">
        <w:t>)</w:t>
      </w:r>
      <w:r>
        <w:t xml:space="preserve">. </w:t>
      </w:r>
      <w:r w:rsidR="00FE4847">
        <w:t xml:space="preserve">Sorégies a le droit à réclamer cette valeur, en cas de cession de la participation à Sieds. </w:t>
      </w:r>
      <w:r w:rsidR="00D25F9A">
        <w:t xml:space="preserve">Politiquement est </w:t>
      </w:r>
      <w:r w:rsidR="005C4112">
        <w:t>une</w:t>
      </w:r>
      <w:r w:rsidR="00D25F9A">
        <w:t xml:space="preserve"> valeur très facile a soutenir. </w:t>
      </w:r>
    </w:p>
    <w:p w:rsidR="006C0114" w:rsidRDefault="006C0114" w:rsidP="00D25F9A">
      <w:pPr>
        <w:pStyle w:val="Paragraphedeliste"/>
        <w:numPr>
          <w:ilvl w:val="0"/>
          <w:numId w:val="1"/>
        </w:numPr>
        <w:spacing w:after="240"/>
        <w:ind w:left="714" w:hanging="357"/>
      </w:pPr>
      <w:r>
        <w:t xml:space="preserve">Valeur </w:t>
      </w:r>
      <w:r w:rsidR="00CA57D2">
        <w:t xml:space="preserve">CRE selon </w:t>
      </w:r>
      <w:r w:rsidR="00F745FA">
        <w:t>décaissements</w:t>
      </w:r>
      <w:r w:rsidR="00CA57D2">
        <w:t xml:space="preserve"> </w:t>
      </w:r>
      <w:r w:rsidR="00F745FA">
        <w:t>réels</w:t>
      </w:r>
      <w:r w:rsidR="00CA57D2">
        <w:t xml:space="preserve"> : Si nous </w:t>
      </w:r>
      <w:r w:rsidR="00F745FA">
        <w:t>considérons</w:t>
      </w:r>
      <w:r w:rsidR="00CA57D2">
        <w:t xml:space="preserve"> une </w:t>
      </w:r>
      <w:r w:rsidR="00F745FA">
        <w:t>rétribution</w:t>
      </w:r>
      <w:r w:rsidR="00CA57D2">
        <w:t xml:space="preserve"> des fond propres de </w:t>
      </w:r>
      <w:r w:rsidR="00CA57D2" w:rsidRPr="001C1FD1">
        <w:t>1</w:t>
      </w:r>
      <w:r w:rsidR="001C1FD1" w:rsidRPr="001C1FD1">
        <w:t>0.92</w:t>
      </w:r>
      <w:r w:rsidR="00CA57D2" w:rsidRPr="001C1FD1">
        <w:t>%</w:t>
      </w:r>
      <w:r w:rsidR="00CA57D2">
        <w:t xml:space="preserve"> (valeur de </w:t>
      </w:r>
      <w:r w:rsidR="00F745FA">
        <w:t>référence</w:t>
      </w:r>
      <w:r w:rsidR="00CA57D2">
        <w:t xml:space="preserve"> CRE en Turpe 2 et 3) et les </w:t>
      </w:r>
      <w:r w:rsidR="00F745FA">
        <w:t>décaissements</w:t>
      </w:r>
      <w:r w:rsidR="00CA57D2">
        <w:t xml:space="preserve"> </w:t>
      </w:r>
      <w:r w:rsidR="001C1FD1">
        <w:t>réellement</w:t>
      </w:r>
      <w:r w:rsidR="00CA57D2">
        <w:t xml:space="preserve"> </w:t>
      </w:r>
      <w:r w:rsidR="00F745FA">
        <w:t>réalisé</w:t>
      </w:r>
      <w:r w:rsidR="001C1FD1">
        <w:t>es</w:t>
      </w:r>
      <w:r w:rsidR="00CA57D2">
        <w:t xml:space="preserve"> par </w:t>
      </w:r>
      <w:r w:rsidR="00F745FA">
        <w:t>Sorégies</w:t>
      </w:r>
      <w:r w:rsidR="00CA57D2">
        <w:rPr>
          <w:rStyle w:val="Appelnotedebasdep"/>
        </w:rPr>
        <w:footnoteReference w:id="2"/>
      </w:r>
      <w:r w:rsidR="00CA57D2">
        <w:t xml:space="preserve">, Sorégies </w:t>
      </w:r>
      <w:r w:rsidR="001C1FD1">
        <w:t xml:space="preserve">pourrait </w:t>
      </w:r>
      <w:r w:rsidR="00F745FA">
        <w:t>réclamer</w:t>
      </w:r>
      <w:r w:rsidR="00CA57D2">
        <w:t xml:space="preserve"> </w:t>
      </w:r>
      <w:r w:rsidR="001C1FD1">
        <w:t>un</w:t>
      </w:r>
      <w:r w:rsidR="00CC3680">
        <w:t>e</w:t>
      </w:r>
      <w:r w:rsidR="001C1FD1">
        <w:t xml:space="preserve"> valeur </w:t>
      </w:r>
      <w:r w:rsidR="00CC3680">
        <w:t>pour sa</w:t>
      </w:r>
      <w:r w:rsidR="001C1FD1">
        <w:t xml:space="preserve"> participation </w:t>
      </w:r>
      <w:r w:rsidR="00CC3680">
        <w:t xml:space="preserve">en Séolis </w:t>
      </w:r>
      <w:r w:rsidR="001C1FD1">
        <w:t xml:space="preserve">de </w:t>
      </w:r>
      <w:r w:rsidR="00CA57D2" w:rsidRPr="001C1FD1">
        <w:rPr>
          <w:b/>
        </w:rPr>
        <w:t xml:space="preserve">14.6 </w:t>
      </w:r>
      <w:r w:rsidR="001C1FD1">
        <w:rPr>
          <w:b/>
        </w:rPr>
        <w:t>m</w:t>
      </w:r>
      <w:r w:rsidR="00CA57D2" w:rsidRPr="001C1FD1">
        <w:rPr>
          <w:b/>
        </w:rPr>
        <w:t>€</w:t>
      </w:r>
      <w:r w:rsidR="006F13FA">
        <w:t>. Cette valeur est parfaitement défendable</w:t>
      </w:r>
      <w:r w:rsidR="001C1FD1">
        <w:t> :</w:t>
      </w:r>
      <w:r w:rsidR="006F13FA">
        <w:t xml:space="preserve"> </w:t>
      </w:r>
      <w:r w:rsidR="001C1FD1">
        <w:t>l</w:t>
      </w:r>
      <w:r w:rsidR="006F13FA">
        <w:t xml:space="preserve">’investissement de </w:t>
      </w:r>
      <w:r w:rsidR="005C4112">
        <w:t>Sorégies</w:t>
      </w:r>
      <w:r w:rsidR="006F13FA">
        <w:t xml:space="preserve"> est fait dans les fonds propres </w:t>
      </w:r>
      <w:r w:rsidR="005C4112">
        <w:t>d’une</w:t>
      </w:r>
      <w:r w:rsidR="006F13FA">
        <w:t xml:space="preserve"> entreprise qui obtient la plus part de ses revenues de l’activité </w:t>
      </w:r>
      <w:r w:rsidR="005C4112">
        <w:t>réglementé</w:t>
      </w:r>
      <w:r w:rsidR="006F13FA">
        <w:t xml:space="preserve"> en Turpe 3. </w:t>
      </w:r>
      <w:r w:rsidR="001C1FD1">
        <w:t xml:space="preserve">Les </w:t>
      </w:r>
      <w:r w:rsidR="00CC3680">
        <w:t>points faibles de cette valorisation</w:t>
      </w:r>
      <w:r w:rsidR="001C1FD1">
        <w:t xml:space="preserve"> sont : </w:t>
      </w:r>
      <w:r w:rsidR="00CC3680">
        <w:t xml:space="preserve">(i) </w:t>
      </w:r>
      <w:r w:rsidR="001C1FD1">
        <w:t xml:space="preserve">que la valeur ne tient pas compte de une rentabilité </w:t>
      </w:r>
      <w:r w:rsidR="00CC3680">
        <w:t>différente</w:t>
      </w:r>
      <w:r w:rsidR="001C1FD1">
        <w:t xml:space="preserve"> </w:t>
      </w:r>
      <w:r w:rsidR="00CC3680">
        <w:t xml:space="preserve">(et inferieur) </w:t>
      </w:r>
      <w:r w:rsidR="001C1FD1">
        <w:t>pour les autres activités de Séolis</w:t>
      </w:r>
      <w:r w:rsidR="00CC3680">
        <w:t xml:space="preserve">, (ii) que considère seulement l’investissement en fonds propres (le taux pondère de la CRE es de </w:t>
      </w:r>
      <w:r w:rsidR="00CC3680" w:rsidRPr="00CC3680">
        <w:rPr>
          <w:color w:val="FF0000"/>
        </w:rPr>
        <w:lastRenderedPageBreak/>
        <w:t>7.xx%)</w:t>
      </w:r>
      <w:r w:rsidR="00CC3680">
        <w:rPr>
          <w:color w:val="FF0000"/>
        </w:rPr>
        <w:t>,</w:t>
      </w:r>
      <w:r w:rsidR="00CC3680">
        <w:t xml:space="preserve"> et (iii)</w:t>
      </w:r>
      <w:r w:rsidR="006F13FA">
        <w:t xml:space="preserve"> </w:t>
      </w:r>
      <w:r w:rsidR="00CC3680">
        <w:t>que les taux de rentabilité de la CRE sont théoriques et les ELDs ruraux ne sont pas en disposition d’attendre ces niveaux de rentabilité.</w:t>
      </w:r>
    </w:p>
    <w:p w:rsidR="00CA57D2" w:rsidRDefault="00CA57D2" w:rsidP="00D25F9A">
      <w:pPr>
        <w:pStyle w:val="Paragraphedeliste"/>
        <w:numPr>
          <w:ilvl w:val="0"/>
          <w:numId w:val="1"/>
        </w:numPr>
        <w:spacing w:after="240"/>
        <w:ind w:left="714" w:hanging="357"/>
      </w:pPr>
      <w:r>
        <w:t xml:space="preserve">Valeur CRE </w:t>
      </w:r>
      <w:r w:rsidR="00F745FA">
        <w:t>investissement</w:t>
      </w:r>
      <w:r>
        <w:t xml:space="preserve"> a la date initial : si nous </w:t>
      </w:r>
      <w:r w:rsidR="006F13FA">
        <w:t>supposons</w:t>
      </w:r>
      <w:r>
        <w:t xml:space="preserve"> que l’</w:t>
      </w:r>
      <w:r w:rsidR="00F745FA">
        <w:t>investissement</w:t>
      </w:r>
      <w:r>
        <w:t xml:space="preserve"> de </w:t>
      </w:r>
      <w:r w:rsidR="006F13FA">
        <w:t xml:space="preserve">10.8m€ </w:t>
      </w:r>
      <w:r>
        <w:t xml:space="preserve">a </w:t>
      </w:r>
      <w:r w:rsidR="00F745FA">
        <w:t>été</w:t>
      </w:r>
      <w:r>
        <w:t xml:space="preserve"> fait a la date de la </w:t>
      </w:r>
      <w:r w:rsidR="00F745FA">
        <w:t>création</w:t>
      </w:r>
      <w:r>
        <w:t xml:space="preserve"> de Séolis (</w:t>
      </w:r>
      <w:r w:rsidR="00F745FA">
        <w:t>Sorégies</w:t>
      </w:r>
      <w:r>
        <w:t xml:space="preserve"> deux </w:t>
      </w:r>
      <w:r w:rsidR="00F745FA">
        <w:t>sèvres</w:t>
      </w:r>
      <w:r w:rsidR="006F13FA">
        <w:t xml:space="preserve"> dans ce moment</w:t>
      </w:r>
      <w:r>
        <w:t>)</w:t>
      </w:r>
      <w:r w:rsidR="006F13FA">
        <w:t>,</w:t>
      </w:r>
      <w:r>
        <w:t xml:space="preserve"> la valeur </w:t>
      </w:r>
      <w:r w:rsidR="00F745FA">
        <w:t>à</w:t>
      </w:r>
      <w:r>
        <w:t xml:space="preserve"> </w:t>
      </w:r>
      <w:r w:rsidR="00F745FA">
        <w:t>réclamer,</w:t>
      </w:r>
      <w:r>
        <w:t xml:space="preserve"> avec </w:t>
      </w:r>
      <w:r w:rsidR="006F13FA">
        <w:t>l’</w:t>
      </w:r>
      <w:r>
        <w:t xml:space="preserve">utilisation de la </w:t>
      </w:r>
      <w:r w:rsidR="00F745FA">
        <w:t>rétribution</w:t>
      </w:r>
      <w:r>
        <w:t xml:space="preserve"> fonds propres d</w:t>
      </w:r>
      <w:r w:rsidR="006F13FA">
        <w:t>u turpe 3</w:t>
      </w:r>
      <w:r>
        <w:t xml:space="preserve">, serait de  15.5 </w:t>
      </w:r>
      <w:r w:rsidR="006F13FA">
        <w:t>m</w:t>
      </w:r>
      <w:r>
        <w:t>€.</w:t>
      </w:r>
      <w:r w:rsidR="006F13FA">
        <w:t xml:space="preserve"> </w:t>
      </w:r>
      <w:r w:rsidR="005C4112">
        <w:t>Cette</w:t>
      </w:r>
      <w:r w:rsidR="006F13FA">
        <w:t xml:space="preserve"> valeur est difficilement justifiable.</w:t>
      </w:r>
    </w:p>
    <w:p w:rsidR="00CA57D2" w:rsidRDefault="00CA57D2" w:rsidP="00CA57D2"/>
    <w:p w:rsidR="00CA57D2" w:rsidRPr="00465F28" w:rsidRDefault="00CA57D2" w:rsidP="00CA57D2">
      <w:pPr>
        <w:rPr>
          <w:b/>
          <w:sz w:val="24"/>
        </w:rPr>
      </w:pPr>
      <w:r w:rsidRPr="00465F28">
        <w:rPr>
          <w:b/>
          <w:sz w:val="24"/>
        </w:rPr>
        <w:t xml:space="preserve">L’offre de </w:t>
      </w:r>
      <w:r w:rsidR="00F745FA" w:rsidRPr="00465F28">
        <w:rPr>
          <w:b/>
          <w:sz w:val="24"/>
        </w:rPr>
        <w:t>Sorégies</w:t>
      </w:r>
    </w:p>
    <w:p w:rsidR="00CA57D2" w:rsidRDefault="00CA57D2" w:rsidP="00465F28">
      <w:pPr>
        <w:spacing w:before="100" w:beforeAutospacing="1" w:after="100" w:afterAutospacing="1"/>
        <w:jc w:val="both"/>
      </w:pPr>
      <w:r>
        <w:t xml:space="preserve">L’offre </w:t>
      </w:r>
      <w:r w:rsidR="00465F28">
        <w:t>réalisée</w:t>
      </w:r>
      <w:r>
        <w:t xml:space="preserve"> par </w:t>
      </w:r>
      <w:r w:rsidR="00F745FA">
        <w:t>Sorégies</w:t>
      </w:r>
      <w:r>
        <w:t xml:space="preserve"> </w:t>
      </w:r>
      <w:r w:rsidR="006F13FA">
        <w:t xml:space="preserve">le 18 </w:t>
      </w:r>
      <w:r w:rsidR="005C4112">
        <w:t>d’avril</w:t>
      </w:r>
      <w:r w:rsidR="006F13FA">
        <w:t xml:space="preserve"> </w:t>
      </w:r>
      <w:r w:rsidR="00CC3680">
        <w:t xml:space="preserve">dernier </w:t>
      </w:r>
      <w:r>
        <w:t xml:space="preserve">n’était pas basé sur la valeur marché de </w:t>
      </w:r>
      <w:r w:rsidR="00F745FA">
        <w:t>Séolis</w:t>
      </w:r>
      <w:r w:rsidR="006F13FA">
        <w:t xml:space="preserve">. Explicitement </w:t>
      </w:r>
      <w:r w:rsidR="005C4112">
        <w:t>Sorégies</w:t>
      </w:r>
      <w:r w:rsidR="006F13FA">
        <w:t xml:space="preserve"> acceptait se </w:t>
      </w:r>
      <w:r w:rsidR="005C4112">
        <w:t>séparer</w:t>
      </w:r>
      <w:r w:rsidR="006F13FA">
        <w:t xml:space="preserve"> de cette </w:t>
      </w:r>
      <w:r w:rsidR="005C4112">
        <w:t>référence</w:t>
      </w:r>
      <w:r w:rsidR="006F13FA">
        <w:t xml:space="preserve"> pour </w:t>
      </w:r>
      <w:r w:rsidR="005C4112">
        <w:t>réclamer</w:t>
      </w:r>
      <w:r w:rsidR="006F13FA">
        <w:t xml:space="preserve"> </w:t>
      </w:r>
      <w:r w:rsidR="005C4112">
        <w:t>une</w:t>
      </w:r>
      <w:r w:rsidR="006F13FA">
        <w:t xml:space="preserve"> valeur </w:t>
      </w:r>
      <w:r w:rsidR="00465F28">
        <w:t>standard (</w:t>
      </w:r>
      <w:r w:rsidR="006F13FA">
        <w:t>CRE</w:t>
      </w:r>
      <w:r w:rsidR="00465F28">
        <w:t>)</w:t>
      </w:r>
      <w:r w:rsidR="006F13FA">
        <w:t xml:space="preserve"> plus</w:t>
      </w:r>
      <w:r>
        <w:t xml:space="preserve"> des couts de portage. Les couts de portage </w:t>
      </w:r>
      <w:r w:rsidR="00F745FA">
        <w:t>étaient</w:t>
      </w:r>
      <w:r>
        <w:t xml:space="preserve"> un </w:t>
      </w:r>
      <w:r w:rsidR="00F745FA">
        <w:t>dédommagement</w:t>
      </w:r>
      <w:r>
        <w:t xml:space="preserve"> pour sorti</w:t>
      </w:r>
      <w:r w:rsidR="00CC3680">
        <w:t>e</w:t>
      </w:r>
      <w:r>
        <w:t xml:space="preserve"> </w:t>
      </w:r>
      <w:r w:rsidR="00CC3680">
        <w:t xml:space="preserve">rapide (et </w:t>
      </w:r>
      <w:r>
        <w:t xml:space="preserve">sans </w:t>
      </w:r>
      <w:r w:rsidR="00F745FA">
        <w:t>réclam</w:t>
      </w:r>
      <w:r w:rsidR="00CC3680">
        <w:t>er</w:t>
      </w:r>
      <w:r>
        <w:t xml:space="preserve"> </w:t>
      </w:r>
      <w:r w:rsidR="00CC3680">
        <w:t>le</w:t>
      </w:r>
      <w:r>
        <w:t xml:space="preserve"> cout marché</w:t>
      </w:r>
      <w:r w:rsidR="00CC3680">
        <w:t xml:space="preserve">). A la fois ces couts de portage conformé le </w:t>
      </w:r>
      <w:r w:rsidR="00465F28">
        <w:t xml:space="preserve">matelas </w:t>
      </w:r>
      <w:r w:rsidR="00CC3680">
        <w:t>de</w:t>
      </w:r>
      <w:r w:rsidR="00465F28">
        <w:t xml:space="preserve"> négociation</w:t>
      </w:r>
      <w:r>
        <w:t>.</w:t>
      </w:r>
    </w:p>
    <w:p w:rsidR="00CA57D2" w:rsidRDefault="00CA57D2" w:rsidP="00465F28">
      <w:pPr>
        <w:spacing w:before="100" w:beforeAutospacing="1" w:after="100" w:afterAutospacing="1"/>
        <w:jc w:val="both"/>
      </w:pPr>
      <w:r>
        <w:t>Nous avions monté une stratégie d’optimisation de cette valeur, en vendant la « concession » fait par Sorégies, stratégie qui a été sur le point de marcher….… jusqu’à l’arrêt du TA, qui a clairement été catastrophique, tant sur le plan de la psychologie de Séolis, que sur nos options réelles (menaces de perte au TC + indemnisation à payer au Sieds potentiellement plus lourde + actif plus dur à vendre sur le marché…)</w:t>
      </w:r>
    </w:p>
    <w:p w:rsidR="00465F28" w:rsidRDefault="00CC3680" w:rsidP="00465F28">
      <w:pPr>
        <w:spacing w:before="100" w:beforeAutospacing="1" w:after="100" w:afterAutospacing="1"/>
        <w:jc w:val="both"/>
      </w:pPr>
      <w:r>
        <w:t xml:space="preserve">A partir de l’arrêt, </w:t>
      </w:r>
      <w:r w:rsidR="005C4112">
        <w:t>Séolis</w:t>
      </w:r>
      <w:r w:rsidR="00465F28">
        <w:t xml:space="preserve"> voit l’avenir de </w:t>
      </w:r>
      <w:r w:rsidR="005C4112">
        <w:t>Sorégies</w:t>
      </w:r>
      <w:r w:rsidR="00465F28">
        <w:t xml:space="preserve"> comme un </w:t>
      </w:r>
      <w:r w:rsidR="005C4112">
        <w:t>actionnaire</w:t>
      </w:r>
      <w:r w:rsidR="00465F28">
        <w:t xml:space="preserve"> minoritaire </w:t>
      </w:r>
      <w:r w:rsidR="005C4112">
        <w:t>dépourvu</w:t>
      </w:r>
      <w:r w:rsidR="00465F28">
        <w:t xml:space="preserve"> de pacte d’</w:t>
      </w:r>
      <w:r w:rsidR="005C4112">
        <w:t>actionnaires</w:t>
      </w:r>
      <w:r w:rsidR="00465F28">
        <w:t xml:space="preserve"> et avec  </w:t>
      </w:r>
      <w:r w:rsidR="005C4112">
        <w:t>une position de faiblesse devant les tribunaux pour les disputes à venir (dans les quelles Séolis va toujours faire valoir les antécédents</w:t>
      </w:r>
      <w:r>
        <w:t xml:space="preserve"> déjà jugés dans les tribunaux</w:t>
      </w:r>
      <w:r w:rsidR="005C4112">
        <w:t>)</w:t>
      </w:r>
    </w:p>
    <w:p w:rsidR="00CA57D2" w:rsidRDefault="00797701" w:rsidP="00CA57D2">
      <w:r>
        <w:t>Dans ces conditions, l</w:t>
      </w:r>
      <w:r w:rsidR="005C4112">
        <w:t>a seule force de Sorégies est la capacité de nuire dans les transformations à venir : cession de Gérédis a Sieds</w:t>
      </w:r>
      <w:r>
        <w:t> ;</w:t>
      </w:r>
      <w:r w:rsidR="005C4112">
        <w:t xml:space="preserve"> entré d’un </w:t>
      </w:r>
      <w:r>
        <w:t xml:space="preserve">potentiel </w:t>
      </w:r>
      <w:r w:rsidR="005C4112">
        <w:t>partenaire industriel ;</w:t>
      </w:r>
      <w:r w:rsidR="00B4541E">
        <w:t xml:space="preserve"> </w:t>
      </w:r>
      <w:r w:rsidR="005C4112">
        <w:t xml:space="preserve">transactions </w:t>
      </w:r>
      <w:r w:rsidR="00B4541E">
        <w:t xml:space="preserve">courantes </w:t>
      </w:r>
      <w:r w:rsidR="005C4112">
        <w:t xml:space="preserve">entre Sieds/Gérédis/Séolis </w:t>
      </w:r>
      <w:r w:rsidR="00B4541E">
        <w:t>où</w:t>
      </w:r>
      <w:r w:rsidR="005C4112">
        <w:t xml:space="preserve"> l’actionnaire B à le rôle d’arbitre en s’agissant de conventions réglementées.</w:t>
      </w:r>
    </w:p>
    <w:p w:rsidR="005C4112" w:rsidRDefault="005C4112" w:rsidP="00CA57D2">
      <w:pPr>
        <w:rPr>
          <w:b/>
          <w:sz w:val="24"/>
        </w:rPr>
      </w:pPr>
    </w:p>
    <w:p w:rsidR="00465F28" w:rsidRDefault="005C4112" w:rsidP="00CA57D2">
      <w:pPr>
        <w:rPr>
          <w:b/>
          <w:sz w:val="24"/>
        </w:rPr>
      </w:pPr>
      <w:r>
        <w:rPr>
          <w:b/>
          <w:sz w:val="24"/>
        </w:rPr>
        <w:t xml:space="preserve">Proposition de </w:t>
      </w:r>
      <w:r w:rsidR="00465F28" w:rsidRPr="00465F28">
        <w:rPr>
          <w:b/>
          <w:sz w:val="24"/>
        </w:rPr>
        <w:t xml:space="preserve">Nouvelle Offre de </w:t>
      </w:r>
      <w:r w:rsidRPr="00465F28">
        <w:rPr>
          <w:b/>
          <w:sz w:val="24"/>
        </w:rPr>
        <w:t>Sorégies</w:t>
      </w:r>
    </w:p>
    <w:p w:rsidR="00B4541E" w:rsidRDefault="00B4541E" w:rsidP="00CA57D2">
      <w:pPr>
        <w:rPr>
          <w:b/>
          <w:sz w:val="24"/>
        </w:rPr>
      </w:pPr>
      <w:r>
        <w:rPr>
          <w:b/>
          <w:sz w:val="24"/>
        </w:rPr>
        <w:t xml:space="preserve">La suivant proposition de </w:t>
      </w:r>
      <w:r w:rsidR="00FE4847">
        <w:rPr>
          <w:b/>
          <w:sz w:val="24"/>
        </w:rPr>
        <w:t>Sorégies</w:t>
      </w:r>
      <w:r>
        <w:rPr>
          <w:b/>
          <w:sz w:val="24"/>
        </w:rPr>
        <w:t xml:space="preserve"> a d’</w:t>
      </w:r>
      <w:r w:rsidR="00FE4847">
        <w:rPr>
          <w:b/>
          <w:sz w:val="24"/>
        </w:rPr>
        <w:t>être</w:t>
      </w:r>
      <w:r>
        <w:rPr>
          <w:b/>
          <w:sz w:val="24"/>
        </w:rPr>
        <w:t xml:space="preserve"> </w:t>
      </w:r>
      <w:r w:rsidR="00FE4847">
        <w:rPr>
          <w:b/>
          <w:sz w:val="24"/>
        </w:rPr>
        <w:t>inattaquable</w:t>
      </w:r>
      <w:r>
        <w:rPr>
          <w:b/>
          <w:sz w:val="24"/>
        </w:rPr>
        <w:t xml:space="preserve"> du point de vue politique </w:t>
      </w:r>
    </w:p>
    <w:p w:rsidR="00465F28" w:rsidRDefault="00B4541E" w:rsidP="00B4541E">
      <w:pPr>
        <w:pStyle w:val="Paragraphedeliste"/>
        <w:numPr>
          <w:ilvl w:val="0"/>
          <w:numId w:val="5"/>
        </w:numPr>
      </w:pPr>
      <w:r>
        <w:t>Proposition à 15.0 m€ : justifié sur la valeur CRE (14.6 m€)+ couts de la transaction (0.4 m€). Négociable à 14.6 m€ + partage des couts de la transaction. Valeur net pour</w:t>
      </w:r>
    </w:p>
    <w:p w:rsidR="00B4541E" w:rsidRDefault="00B4541E" w:rsidP="00B4541E">
      <w:pPr>
        <w:pStyle w:val="Paragraphedeliste"/>
        <w:numPr>
          <w:ilvl w:val="0"/>
          <w:numId w:val="5"/>
        </w:numPr>
      </w:pPr>
      <w:r>
        <w:t xml:space="preserve">Proposition final à </w:t>
      </w:r>
    </w:p>
    <w:p w:rsidR="00B4541E" w:rsidRDefault="00797701" w:rsidP="00B4541E">
      <w:r>
        <w:t xml:space="preserve">Deux voies sont </w:t>
      </w:r>
      <w:r w:rsidR="00FE4847">
        <w:t>possibles</w:t>
      </w:r>
      <w:r>
        <w:t xml:space="preserve"> </w:t>
      </w:r>
      <w:r w:rsidR="00FE4847">
        <w:t>à</w:t>
      </w:r>
      <w:r>
        <w:t xml:space="preserve"> </w:t>
      </w:r>
      <w:r w:rsidR="00FE4847">
        <w:t>Sorégies</w:t>
      </w:r>
      <w:r>
        <w:t xml:space="preserve"> dans la suite de la </w:t>
      </w:r>
      <w:r w:rsidR="00FE4847">
        <w:t>négociation</w:t>
      </w:r>
    </w:p>
    <w:p w:rsidR="00797701" w:rsidRPr="00797701" w:rsidRDefault="00797701" w:rsidP="00797701">
      <w:pPr>
        <w:pStyle w:val="Paragraphedeliste"/>
        <w:numPr>
          <w:ilvl w:val="0"/>
          <w:numId w:val="6"/>
        </w:numPr>
      </w:pPr>
      <w:r w:rsidRPr="00797701">
        <w:rPr>
          <w:b/>
        </w:rPr>
        <w:t xml:space="preserve">Vente </w:t>
      </w:r>
      <w:r w:rsidR="00FE4847" w:rsidRPr="00797701">
        <w:rPr>
          <w:b/>
        </w:rPr>
        <w:t>à</w:t>
      </w:r>
      <w:r w:rsidRPr="00797701">
        <w:rPr>
          <w:b/>
        </w:rPr>
        <w:t xml:space="preserve"> un tiers</w:t>
      </w:r>
      <w:r>
        <w:t xml:space="preserve">. La négative de Sieds </w:t>
      </w:r>
      <w:r w:rsidR="005E5401">
        <w:t>à</w:t>
      </w:r>
      <w:r>
        <w:t xml:space="preserve"> compenser Sorégies de forme juste (prix CRE plus couts de portage)</w:t>
      </w:r>
      <w:r w:rsidR="005E5401">
        <w:t xml:space="preserve"> ouvre</w:t>
      </w:r>
      <w:r>
        <w:t xml:space="preserve"> la porte </w:t>
      </w:r>
      <w:r w:rsidR="005E5401">
        <w:t>à</w:t>
      </w:r>
      <w:r>
        <w:t xml:space="preserve"> Sorégies </w:t>
      </w:r>
      <w:r w:rsidR="005E5401">
        <w:t>pour</w:t>
      </w:r>
      <w:r>
        <w:t xml:space="preserve"> recherche</w:t>
      </w:r>
      <w:r w:rsidR="005E5401">
        <w:t>r</w:t>
      </w:r>
      <w:r>
        <w:t xml:space="preserve"> un potentiel acquéreur.  </w:t>
      </w:r>
      <w:r w:rsidR="005E5401">
        <w:t>Quelques remarques</w:t>
      </w:r>
      <w:r w:rsidRPr="00797701">
        <w:t> :</w:t>
      </w:r>
    </w:p>
    <w:p w:rsidR="00797701" w:rsidRDefault="00797701" w:rsidP="00797701">
      <w:pPr>
        <w:pStyle w:val="Paragraphedeliste"/>
        <w:numPr>
          <w:ilvl w:val="1"/>
          <w:numId w:val="6"/>
        </w:numPr>
      </w:pPr>
      <w:r w:rsidRPr="00797701">
        <w:lastRenderedPageBreak/>
        <w:t xml:space="preserve">Pour </w:t>
      </w:r>
      <w:r>
        <w:t>faire encore plus robuste du point de vue politique ce</w:t>
      </w:r>
      <w:r w:rsidR="005E5401">
        <w:t>t</w:t>
      </w:r>
      <w:r>
        <w:t>t</w:t>
      </w:r>
      <w:r w:rsidR="005E5401">
        <w:t>e</w:t>
      </w:r>
      <w:r>
        <w:t xml:space="preserve"> voie, Sorégies devra faire une offre encore plus ajusté : Valeur CRE avec </w:t>
      </w:r>
      <w:r w:rsidR="003C15FB">
        <w:t>décaissements</w:t>
      </w:r>
      <w:r>
        <w:t xml:space="preserve"> </w:t>
      </w:r>
      <w:r w:rsidR="003C15FB">
        <w:t>réelles</w:t>
      </w:r>
      <w:r>
        <w:t xml:space="preserve"> (14.6m€) plus couts </w:t>
      </w:r>
      <w:r w:rsidR="003C15FB">
        <w:t>réels</w:t>
      </w:r>
      <w:r>
        <w:t xml:space="preserve"> de portage (0.5 m€ ?).</w:t>
      </w:r>
      <w:r w:rsidR="005E5401">
        <w:t xml:space="preserve"> Offre final de 15.1m€</w:t>
      </w:r>
    </w:p>
    <w:p w:rsidR="00797701" w:rsidRDefault="00797701" w:rsidP="00797701">
      <w:pPr>
        <w:pStyle w:val="Paragraphedeliste"/>
        <w:numPr>
          <w:ilvl w:val="1"/>
          <w:numId w:val="6"/>
        </w:numPr>
      </w:pPr>
      <w:r>
        <w:t>Si</w:t>
      </w:r>
      <w:r w:rsidR="005E5401">
        <w:t xml:space="preserve">, </w:t>
      </w:r>
      <w:r w:rsidR="00FE4847">
        <w:t>même</w:t>
      </w:r>
      <w:r w:rsidR="005E5401">
        <w:t xml:space="preserve"> avec cette </w:t>
      </w:r>
      <w:r w:rsidR="00FE4847">
        <w:t>décote</w:t>
      </w:r>
      <w:r w:rsidR="005E5401">
        <w:t xml:space="preserve">, </w:t>
      </w:r>
      <w:r>
        <w:t xml:space="preserve"> l’offre n’es pas retenu par </w:t>
      </w:r>
      <w:r w:rsidR="00FE4847">
        <w:t>Séolis</w:t>
      </w:r>
      <w:r>
        <w:t xml:space="preserve">, Sorégies est livre de vendre </w:t>
      </w:r>
      <w:r w:rsidR="005E5401">
        <w:t>à</w:t>
      </w:r>
      <w:r>
        <w:t xml:space="preserve"> un tiers </w:t>
      </w:r>
      <w:r w:rsidR="005E5401">
        <w:t xml:space="preserve">et contera avec tous les appuies politiques </w:t>
      </w:r>
      <w:r w:rsidR="00FE4847">
        <w:t>nécessaires</w:t>
      </w:r>
      <w:r w:rsidR="005E5401">
        <w:t>.</w:t>
      </w:r>
    </w:p>
    <w:p w:rsidR="005E5401" w:rsidRDefault="00797701" w:rsidP="005E5401">
      <w:pPr>
        <w:pStyle w:val="Paragraphedeliste"/>
        <w:numPr>
          <w:ilvl w:val="1"/>
          <w:numId w:val="6"/>
        </w:numPr>
      </w:pPr>
      <w:r>
        <w:t xml:space="preserve">Cette vente prendra  plusieurs mois et le système d’agrément </w:t>
      </w:r>
      <w:r w:rsidR="003C15FB">
        <w:t>prévu</w:t>
      </w:r>
      <w:r>
        <w:t xml:space="preserve"> dans les </w:t>
      </w:r>
      <w:r w:rsidR="003C15FB">
        <w:t>statuts</w:t>
      </w:r>
      <w:r>
        <w:t xml:space="preserve"> de </w:t>
      </w:r>
      <w:r w:rsidR="00FE4847">
        <w:t>Séolis</w:t>
      </w:r>
      <w:r>
        <w:t xml:space="preserve">  </w:t>
      </w:r>
      <w:r w:rsidR="003C15FB">
        <w:t xml:space="preserve">donnera des </w:t>
      </w:r>
      <w:r w:rsidR="00FE4847">
        <w:t>possibilités</w:t>
      </w:r>
      <w:r w:rsidR="003C15FB">
        <w:t xml:space="preserve"> </w:t>
      </w:r>
      <w:r w:rsidR="00FE4847">
        <w:t>additionnelles</w:t>
      </w:r>
      <w:r w:rsidR="003C15FB">
        <w:t xml:space="preserve"> de nuisances </w:t>
      </w:r>
      <w:r w:rsidR="00FE4847">
        <w:t>à</w:t>
      </w:r>
      <w:r w:rsidR="003C15FB">
        <w:t xml:space="preserve"> </w:t>
      </w:r>
      <w:r w:rsidR="00FE4847">
        <w:t>Séolis</w:t>
      </w:r>
      <w:r w:rsidR="003C15FB">
        <w:t xml:space="preserve"> dans les </w:t>
      </w:r>
      <w:r w:rsidR="00FE4847">
        <w:t>processus</w:t>
      </w:r>
      <w:r w:rsidR="003C15FB">
        <w:t xml:space="preserve"> de vente.</w:t>
      </w:r>
    </w:p>
    <w:p w:rsidR="00797701" w:rsidRPr="00797701" w:rsidRDefault="00797701" w:rsidP="003C15FB">
      <w:r>
        <w:t xml:space="preserve"> </w:t>
      </w:r>
    </w:p>
    <w:p w:rsidR="00F0751B" w:rsidRDefault="00797701" w:rsidP="005E5401">
      <w:pPr>
        <w:pStyle w:val="Paragraphedeliste"/>
        <w:numPr>
          <w:ilvl w:val="0"/>
          <w:numId w:val="6"/>
        </w:numPr>
      </w:pPr>
      <w:r w:rsidRPr="005E5401">
        <w:rPr>
          <w:b/>
        </w:rPr>
        <w:t>Vente à Sieds</w:t>
      </w:r>
      <w:r w:rsidR="003C15FB" w:rsidRPr="003C15FB">
        <w:t xml:space="preserve">. </w:t>
      </w:r>
      <w:r w:rsidR="00FE4847" w:rsidRPr="003C15FB">
        <w:t>L’offre de Sieds</w:t>
      </w:r>
      <w:r w:rsidR="00FE4847">
        <w:t xml:space="preserve"> n’est pas négligeable si nous considérons (i) que elle paie la valeur en fonds propres de la Société, (ii) que la plus-value para Sorégies de la l’opération Séolis</w:t>
      </w:r>
      <w:r w:rsidR="00FE4847">
        <w:rPr>
          <w:rStyle w:val="Appelnotedebasdep"/>
        </w:rPr>
        <w:footnoteReference w:id="3"/>
      </w:r>
      <w:r w:rsidR="00FE4847">
        <w:t xml:space="preserve"> es de XX m€, avec une rentabilité de xx%, (iii) évite risques dans les tribunaux (spécialement le risque d’indemnisation dans le tribunal de commerce), et (iv) l’accord sur l’offre de Sieds permet une sortie rapide d’un cauchemar qui dure plus de 3 ans. </w:t>
      </w:r>
      <w:r w:rsidR="00F0751B">
        <w:t xml:space="preserve">Si </w:t>
      </w:r>
      <w:r w:rsidR="00FE4847">
        <w:t>Sorégies</w:t>
      </w:r>
      <w:r w:rsidR="00F0751B">
        <w:t xml:space="preserve"> </w:t>
      </w:r>
      <w:r w:rsidR="00FE4847">
        <w:t>accepte la vente</w:t>
      </w:r>
      <w:r w:rsidR="00F0751B">
        <w:t xml:space="preserve"> </w:t>
      </w:r>
      <w:r w:rsidR="00FE4847">
        <w:t>à</w:t>
      </w:r>
      <w:r w:rsidR="00F0751B">
        <w:t xml:space="preserve"> Sieds à la fois que veut </w:t>
      </w:r>
      <w:r w:rsidR="00FE4847">
        <w:t>améliorer</w:t>
      </w:r>
      <w:r w:rsidR="00F0751B">
        <w:t xml:space="preserve"> le prix de vente, devrait</w:t>
      </w:r>
    </w:p>
    <w:p w:rsidR="00F0751B" w:rsidRDefault="00F0751B" w:rsidP="005E5401">
      <w:pPr>
        <w:pStyle w:val="Paragraphedeliste"/>
        <w:numPr>
          <w:ilvl w:val="1"/>
          <w:numId w:val="6"/>
        </w:numPr>
      </w:pPr>
      <w:r>
        <w:t xml:space="preserve">Faire une contre offre, bien justifié, et  ne pas trop éloigné de la proposition de </w:t>
      </w:r>
      <w:r w:rsidR="00FE4847">
        <w:t>Séolis</w:t>
      </w:r>
      <w:r>
        <w:t>. Une proposition de fond propres</w:t>
      </w:r>
      <w:r>
        <w:rPr>
          <w:rStyle w:val="Appelnotedebasdep"/>
        </w:rPr>
        <w:footnoteReference w:id="4"/>
      </w:r>
      <w:r>
        <w:t xml:space="preserve"> (14.1m€) + frais </w:t>
      </w:r>
      <w:r w:rsidR="00FE4847">
        <w:t>réels</w:t>
      </w:r>
      <w:r>
        <w:t xml:space="preserve"> de la transaction (3%) devrait </w:t>
      </w:r>
      <w:r w:rsidR="00FE4847">
        <w:t>être</w:t>
      </w:r>
      <w:r>
        <w:t xml:space="preserve"> accepté par </w:t>
      </w:r>
      <w:r w:rsidR="00FE4847">
        <w:t>Séolis</w:t>
      </w:r>
      <w:r>
        <w:t>. Offre final de 14.5 m€</w:t>
      </w:r>
    </w:p>
    <w:p w:rsidR="005E5401" w:rsidRDefault="005E5401" w:rsidP="005E5401">
      <w:pPr>
        <w:pStyle w:val="Paragraphedeliste"/>
        <w:numPr>
          <w:ilvl w:val="1"/>
          <w:numId w:val="6"/>
        </w:numPr>
      </w:pPr>
      <w:r>
        <w:t xml:space="preserve"> </w:t>
      </w:r>
      <w:r w:rsidR="00F0751B">
        <w:t xml:space="preserve">Se montrer </w:t>
      </w:r>
      <w:r w:rsidR="00FE4847">
        <w:t>très</w:t>
      </w:r>
      <w:r w:rsidR="00F0751B">
        <w:t xml:space="preserve"> ferme sur la clause de </w:t>
      </w:r>
      <w:r w:rsidR="00FE4847">
        <w:t>rétrocession</w:t>
      </w:r>
      <w:r w:rsidR="00F0751B">
        <w:t xml:space="preserve">. Demande de 24 mois et </w:t>
      </w:r>
      <w:r w:rsidR="00FE4847">
        <w:t>plus-values</w:t>
      </w:r>
      <w:r w:rsidR="00F0751B">
        <w:t xml:space="preserve"> </w:t>
      </w:r>
      <w:r w:rsidR="00FE4847">
        <w:t>complètes</w:t>
      </w:r>
      <w:r w:rsidR="00F0751B">
        <w:t xml:space="preserve"> jusque </w:t>
      </w:r>
      <w:r w:rsidR="00FE4847">
        <w:t>au niveau</w:t>
      </w:r>
      <w:r w:rsidR="00F0751B">
        <w:t xml:space="preserve"> offre initial de 16.5 m€ et partage de </w:t>
      </w:r>
      <w:r w:rsidR="00FE4847">
        <w:t>plus-values</w:t>
      </w:r>
      <w:r w:rsidR="00F0751B">
        <w:t xml:space="preserve"> a partir de las. </w:t>
      </w:r>
      <w:r w:rsidR="00FE4847">
        <w:t>Cette clause de rétrocession pourrait être échangé finalement pour un montant forfaitaire (i.e. 0.5 m€), pour nous amener à 15m€ total pour la vente.</w:t>
      </w:r>
    </w:p>
    <w:p w:rsidR="005E5401" w:rsidRDefault="005E5401" w:rsidP="005E5401">
      <w:pPr>
        <w:pStyle w:val="Paragraphedeliste"/>
      </w:pPr>
    </w:p>
    <w:p w:rsidR="005E5401" w:rsidRDefault="005E5401" w:rsidP="005E5401">
      <w:r>
        <w:t xml:space="preserve"> </w:t>
      </w:r>
    </w:p>
    <w:p w:rsidR="005E5401" w:rsidRPr="00465F28" w:rsidRDefault="005E5401" w:rsidP="005E5401"/>
    <w:sectPr w:rsidR="005E5401" w:rsidRPr="00465F28" w:rsidSect="007638C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8DF" w:rsidRDefault="005E58DF" w:rsidP="006C0114">
      <w:pPr>
        <w:spacing w:after="0" w:line="240" w:lineRule="auto"/>
      </w:pPr>
      <w:r>
        <w:separator/>
      </w:r>
    </w:p>
  </w:endnote>
  <w:endnote w:type="continuationSeparator" w:id="0">
    <w:p w:rsidR="005E58DF" w:rsidRDefault="005E58DF" w:rsidP="006C01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8DF" w:rsidRDefault="005E58DF" w:rsidP="006C0114">
      <w:pPr>
        <w:spacing w:after="0" w:line="240" w:lineRule="auto"/>
      </w:pPr>
      <w:r>
        <w:separator/>
      </w:r>
    </w:p>
  </w:footnote>
  <w:footnote w:type="continuationSeparator" w:id="0">
    <w:p w:rsidR="005E58DF" w:rsidRDefault="005E58DF" w:rsidP="006C0114">
      <w:pPr>
        <w:spacing w:after="0" w:line="240" w:lineRule="auto"/>
      </w:pPr>
      <w:r>
        <w:continuationSeparator/>
      </w:r>
    </w:p>
  </w:footnote>
  <w:footnote w:id="1">
    <w:p w:rsidR="006C0114" w:rsidRDefault="006C0114">
      <w:pPr>
        <w:pStyle w:val="Notedebasdepage"/>
      </w:pPr>
      <w:r>
        <w:rPr>
          <w:rStyle w:val="Appelnotedebasdep"/>
        </w:rPr>
        <w:footnoteRef/>
      </w:r>
      <w:r>
        <w:t xml:space="preserve"> Expliquer comme sont calculés les </w:t>
      </w:r>
      <w:r w:rsidR="00F745FA">
        <w:t>résultats</w:t>
      </w:r>
      <w:r>
        <w:t xml:space="preserve"> des 6 mois de l’</w:t>
      </w:r>
      <w:r w:rsidR="00F745FA">
        <w:t>année</w:t>
      </w:r>
      <w:r>
        <w:t xml:space="preserve"> 2011.</w:t>
      </w:r>
      <w:r w:rsidR="00D25F9A">
        <w:t xml:space="preserve"> Souligner que les </w:t>
      </w:r>
      <w:r w:rsidR="005C4112">
        <w:t>fonds</w:t>
      </w:r>
      <w:r w:rsidR="00D25F9A">
        <w:t xml:space="preserve"> propres </w:t>
      </w:r>
      <w:r w:rsidR="005C4112">
        <w:t>considèrent</w:t>
      </w:r>
      <w:r w:rsidR="00D25F9A">
        <w:t xml:space="preserve"> la valeur </w:t>
      </w:r>
      <w:r w:rsidR="005C4112">
        <w:t>consolidée</w:t>
      </w:r>
      <w:r w:rsidR="00D25F9A">
        <w:t xml:space="preserve"> de </w:t>
      </w:r>
      <w:r w:rsidR="005C4112">
        <w:t>Séolis</w:t>
      </w:r>
      <w:r w:rsidR="00D25F9A">
        <w:t xml:space="preserve"> qui </w:t>
      </w:r>
      <w:r w:rsidR="005C4112">
        <w:t>inclut</w:t>
      </w:r>
      <w:r w:rsidR="00D25F9A">
        <w:t xml:space="preserve"> </w:t>
      </w:r>
      <w:r w:rsidR="005C4112">
        <w:t>le résultat</w:t>
      </w:r>
      <w:r w:rsidR="00D25F9A">
        <w:t xml:space="preserve"> de </w:t>
      </w:r>
      <w:r w:rsidR="005C4112">
        <w:t>Gérédis</w:t>
      </w:r>
      <w:r w:rsidR="00D25F9A">
        <w:t>.</w:t>
      </w:r>
    </w:p>
  </w:footnote>
  <w:footnote w:id="2">
    <w:p w:rsidR="00CA57D2" w:rsidRDefault="00CA57D2">
      <w:pPr>
        <w:pStyle w:val="Notedebasdepage"/>
      </w:pPr>
      <w:r>
        <w:rPr>
          <w:rStyle w:val="Appelnotedebasdep"/>
        </w:rPr>
        <w:footnoteRef/>
      </w:r>
      <w:r>
        <w:t xml:space="preserve"> Mettre </w:t>
      </w:r>
      <w:r w:rsidR="00F745FA">
        <w:t>détail</w:t>
      </w:r>
      <w:r>
        <w:t xml:space="preserve"> de </w:t>
      </w:r>
      <w:r w:rsidR="00F745FA">
        <w:t>décaissements</w:t>
      </w:r>
    </w:p>
    <w:p w:rsidR="00CA57D2" w:rsidRDefault="00CA57D2">
      <w:pPr>
        <w:pStyle w:val="Notedebasdepage"/>
      </w:pPr>
    </w:p>
  </w:footnote>
  <w:footnote w:id="3">
    <w:p w:rsidR="00FE4847" w:rsidRPr="003C15FB" w:rsidRDefault="00FE4847">
      <w:pPr>
        <w:pStyle w:val="Notedebasdepage"/>
        <w:rPr>
          <w:lang w:val="es-ES"/>
        </w:rPr>
      </w:pPr>
      <w:r>
        <w:rPr>
          <w:rStyle w:val="Appelnotedebasdep"/>
        </w:rPr>
        <w:footnoteRef/>
      </w:r>
      <w:r w:rsidRPr="003C15FB">
        <w:rPr>
          <w:lang w:val="es-ES"/>
        </w:rPr>
        <w:t xml:space="preserve"> </w:t>
      </w:r>
      <w:proofErr w:type="spellStart"/>
      <w:r w:rsidRPr="003C15FB">
        <w:rPr>
          <w:lang w:val="es-ES"/>
        </w:rPr>
        <w:t>Inlcuyendo</w:t>
      </w:r>
      <w:proofErr w:type="spellEnd"/>
      <w:r w:rsidRPr="003C15FB">
        <w:rPr>
          <w:lang w:val="es-ES"/>
        </w:rPr>
        <w:t xml:space="preserve"> </w:t>
      </w:r>
      <w:proofErr w:type="spellStart"/>
      <w:r w:rsidRPr="003C15FB">
        <w:rPr>
          <w:lang w:val="es-ES"/>
        </w:rPr>
        <w:t>inversion</w:t>
      </w:r>
      <w:proofErr w:type="spellEnd"/>
      <w:r w:rsidRPr="003C15FB">
        <w:rPr>
          <w:lang w:val="es-ES"/>
        </w:rPr>
        <w:t xml:space="preserve"> real </w:t>
      </w:r>
      <w:proofErr w:type="gramStart"/>
      <w:r w:rsidRPr="003C15FB">
        <w:rPr>
          <w:lang w:val="es-ES"/>
        </w:rPr>
        <w:t>de ….</w:t>
      </w:r>
      <w:proofErr w:type="gramEnd"/>
      <w:r w:rsidRPr="003C15FB">
        <w:rPr>
          <w:lang w:val="es-ES"/>
        </w:rPr>
        <w:t xml:space="preserve"> Costes de </w:t>
      </w:r>
      <w:proofErr w:type="spellStart"/>
      <w:r w:rsidRPr="003C15FB">
        <w:rPr>
          <w:lang w:val="es-ES"/>
        </w:rPr>
        <w:t>transaction</w:t>
      </w:r>
      <w:proofErr w:type="spellEnd"/>
      <w:r w:rsidRPr="003C15FB">
        <w:rPr>
          <w:lang w:val="es-ES"/>
        </w:rPr>
        <w:t xml:space="preserve"> </w:t>
      </w:r>
      <w:proofErr w:type="gramStart"/>
      <w:r w:rsidRPr="003C15FB">
        <w:rPr>
          <w:lang w:val="es-ES"/>
        </w:rPr>
        <w:t>de ….</w:t>
      </w:r>
      <w:proofErr w:type="gramEnd"/>
      <w:r>
        <w:rPr>
          <w:lang w:val="es-ES"/>
        </w:rPr>
        <w:t xml:space="preserve"> Transacción completada en 30/6/2011</w:t>
      </w:r>
      <w:r w:rsidRPr="003C15FB">
        <w:rPr>
          <w:lang w:val="es-ES"/>
        </w:rPr>
        <w:t xml:space="preserve"> </w:t>
      </w:r>
    </w:p>
  </w:footnote>
  <w:footnote w:id="4">
    <w:p w:rsidR="00F0751B" w:rsidRPr="00F0751B" w:rsidRDefault="00F0751B">
      <w:pPr>
        <w:pStyle w:val="Notedebasdepage"/>
        <w:rPr>
          <w:lang w:val="es-ES"/>
        </w:rPr>
      </w:pPr>
      <w:r>
        <w:rPr>
          <w:rStyle w:val="Appelnotedebasdep"/>
        </w:rPr>
        <w:footnoteRef/>
      </w:r>
      <w:r w:rsidRPr="00F0751B">
        <w:rPr>
          <w:lang w:val="es-ES"/>
        </w:rPr>
        <w:t xml:space="preserve"> Hay </w:t>
      </w:r>
      <w:proofErr w:type="spellStart"/>
      <w:r w:rsidRPr="00F0751B">
        <w:rPr>
          <w:lang w:val="es-ES"/>
        </w:rPr>
        <w:t>algun</w:t>
      </w:r>
      <w:proofErr w:type="spellEnd"/>
      <w:r w:rsidRPr="00F0751B">
        <w:rPr>
          <w:lang w:val="es-ES"/>
        </w:rPr>
        <w:t xml:space="preserve"> medio para incrementar el valor de los fondos propios </w:t>
      </w:r>
      <w:proofErr w:type="spellStart"/>
      <w:r w:rsidRPr="00F0751B">
        <w:rPr>
          <w:lang w:val="es-ES"/>
        </w:rPr>
        <w:t>ed</w:t>
      </w:r>
      <w:proofErr w:type="spellEnd"/>
      <w:r w:rsidRPr="00F0751B">
        <w:rPr>
          <w:lang w:val="es-ES"/>
        </w:rPr>
        <w:t xml:space="preserve"> </w:t>
      </w:r>
      <w:proofErr w:type="spellStart"/>
      <w:r w:rsidRPr="00F0751B">
        <w:rPr>
          <w:lang w:val="es-ES"/>
        </w:rPr>
        <w:t>Seolis</w:t>
      </w:r>
      <w:proofErr w:type="spellEnd"/>
      <w:r w:rsidRPr="00F0751B">
        <w:rPr>
          <w:lang w:val="es-ES"/>
        </w:rPr>
        <w:t xml:space="preserve"> aunque sea </w:t>
      </w:r>
      <w:proofErr w:type="spellStart"/>
      <w:r w:rsidRPr="00F0751B">
        <w:rPr>
          <w:lang w:val="es-ES"/>
        </w:rPr>
        <w:t>ed</w:t>
      </w:r>
      <w:proofErr w:type="spellEnd"/>
      <w:r w:rsidRPr="00F0751B">
        <w:rPr>
          <w:lang w:val="es-ES"/>
        </w:rPr>
        <w:t xml:space="preserve"> forma </w:t>
      </w:r>
      <w:proofErr w:type="spellStart"/>
      <w:proofErr w:type="gramStart"/>
      <w:r w:rsidRPr="00F0751B">
        <w:rPr>
          <w:lang w:val="es-ES"/>
        </w:rPr>
        <w:t>dialectica</w:t>
      </w:r>
      <w:proofErr w:type="spellEnd"/>
      <w:r w:rsidRPr="00F0751B">
        <w:rPr>
          <w:lang w:val="es-ES"/>
        </w:rPr>
        <w:t> ?</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02B3"/>
    <w:multiLevelType w:val="hybridMultilevel"/>
    <w:tmpl w:val="6BE0E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D71F60"/>
    <w:multiLevelType w:val="hybridMultilevel"/>
    <w:tmpl w:val="9FA27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FE3F95"/>
    <w:multiLevelType w:val="hybridMultilevel"/>
    <w:tmpl w:val="F4AE3D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ED246FB"/>
    <w:multiLevelType w:val="hybridMultilevel"/>
    <w:tmpl w:val="95DA7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2CA7224"/>
    <w:multiLevelType w:val="hybridMultilevel"/>
    <w:tmpl w:val="B8DC486A"/>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1B620C8"/>
    <w:multiLevelType w:val="hybridMultilevel"/>
    <w:tmpl w:val="3140E000"/>
    <w:lvl w:ilvl="0" w:tplc="1C6E13D4">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6C0114"/>
    <w:rsid w:val="001C1FD1"/>
    <w:rsid w:val="002026D2"/>
    <w:rsid w:val="003C15FB"/>
    <w:rsid w:val="00465F28"/>
    <w:rsid w:val="005C4112"/>
    <w:rsid w:val="005E5401"/>
    <w:rsid w:val="005E58DF"/>
    <w:rsid w:val="00655F59"/>
    <w:rsid w:val="006C0114"/>
    <w:rsid w:val="006F13FA"/>
    <w:rsid w:val="007638CE"/>
    <w:rsid w:val="00797701"/>
    <w:rsid w:val="00A8469A"/>
    <w:rsid w:val="00B4541E"/>
    <w:rsid w:val="00C13DC8"/>
    <w:rsid w:val="00CA57D2"/>
    <w:rsid w:val="00CC3680"/>
    <w:rsid w:val="00CE4AFB"/>
    <w:rsid w:val="00D25F9A"/>
    <w:rsid w:val="00D642C8"/>
    <w:rsid w:val="00F0751B"/>
    <w:rsid w:val="00F745FA"/>
    <w:rsid w:val="00F822DE"/>
    <w:rsid w:val="00FE48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C01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0114"/>
    <w:rPr>
      <w:rFonts w:ascii="Tahoma" w:hAnsi="Tahoma" w:cs="Tahoma"/>
      <w:sz w:val="16"/>
      <w:szCs w:val="16"/>
    </w:rPr>
  </w:style>
  <w:style w:type="paragraph" w:styleId="Paragraphedeliste">
    <w:name w:val="List Paragraph"/>
    <w:basedOn w:val="Normal"/>
    <w:uiPriority w:val="34"/>
    <w:qFormat/>
    <w:rsid w:val="006C0114"/>
    <w:pPr>
      <w:ind w:left="720"/>
      <w:contextualSpacing/>
    </w:pPr>
  </w:style>
  <w:style w:type="paragraph" w:styleId="Notedebasdepage">
    <w:name w:val="footnote text"/>
    <w:basedOn w:val="Normal"/>
    <w:link w:val="NotedebasdepageCar"/>
    <w:uiPriority w:val="99"/>
    <w:semiHidden/>
    <w:unhideWhenUsed/>
    <w:rsid w:val="006C011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0114"/>
    <w:rPr>
      <w:sz w:val="20"/>
      <w:szCs w:val="20"/>
    </w:rPr>
  </w:style>
  <w:style w:type="character" w:styleId="Appelnotedebasdep">
    <w:name w:val="footnote reference"/>
    <w:basedOn w:val="Policepardfaut"/>
    <w:uiPriority w:val="99"/>
    <w:semiHidden/>
    <w:unhideWhenUsed/>
    <w:rsid w:val="006C0114"/>
    <w:rPr>
      <w:vertAlign w:val="superscript"/>
    </w:rPr>
  </w:style>
</w:styles>
</file>

<file path=word/webSettings.xml><?xml version="1.0" encoding="utf-8"?>
<w:webSettings xmlns:r="http://schemas.openxmlformats.org/officeDocument/2006/relationships" xmlns:w="http://schemas.openxmlformats.org/wordprocessingml/2006/main">
  <w:divs>
    <w:div w:id="186255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HAYA\HAYA%202009-2010\Seolis\off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3"/>
  <c:chart>
    <c:title>
      <c:tx>
        <c:rich>
          <a:bodyPr/>
          <a:lstStyle/>
          <a:p>
            <a:pPr>
              <a:defRPr sz="1400"/>
            </a:pPr>
            <a:r>
              <a:rPr lang="fr-FR" sz="1400"/>
              <a:t>Valorisation 15% Séolis</a:t>
            </a:r>
          </a:p>
        </c:rich>
      </c:tx>
    </c:title>
    <c:plotArea>
      <c:layout/>
      <c:barChart>
        <c:barDir val="col"/>
        <c:grouping val="clustered"/>
        <c:ser>
          <c:idx val="0"/>
          <c:order val="0"/>
          <c:cat>
            <c:strRef>
              <c:f>Feuil1!$C$17:$C$23</c:f>
              <c:strCache>
                <c:ptCount val="7"/>
                <c:pt idx="0">
                  <c:v>Offre Séolis 6/05/2011</c:v>
                </c:pt>
                <c:pt idx="1">
                  <c:v>Offre Séolis 13/05/2011</c:v>
                </c:pt>
                <c:pt idx="2">
                  <c:v>Valeur en Bilan Sorégies</c:v>
                </c:pt>
                <c:pt idx="3">
                  <c:v>Fonds Propres consolidés de Séolis</c:v>
                </c:pt>
                <c:pt idx="4">
                  <c:v>Retribution CRE selon decaissent reel</c:v>
                </c:pt>
                <c:pt idx="5">
                  <c:v>Retribution CRE  si investis. 10,8m€ en  2007</c:v>
                </c:pt>
                <c:pt idx="6">
                  <c:v>Offre Soregies 18/04/2011</c:v>
                </c:pt>
              </c:strCache>
            </c:strRef>
          </c:cat>
          <c:val>
            <c:numRef>
              <c:f>Feuil1!$D$17:$D$23</c:f>
              <c:numCache>
                <c:formatCode>0.0</c:formatCode>
                <c:ptCount val="7"/>
                <c:pt idx="0">
                  <c:v>13.5</c:v>
                </c:pt>
                <c:pt idx="1">
                  <c:v>14</c:v>
                </c:pt>
                <c:pt idx="2">
                  <c:v>13.8</c:v>
                </c:pt>
                <c:pt idx="3">
                  <c:v>14.1</c:v>
                </c:pt>
                <c:pt idx="4">
                  <c:v>14.6</c:v>
                </c:pt>
                <c:pt idx="5">
                  <c:v>15.5</c:v>
                </c:pt>
                <c:pt idx="6">
                  <c:v>16.5</c:v>
                </c:pt>
              </c:numCache>
            </c:numRef>
          </c:val>
        </c:ser>
        <c:dLbls>
          <c:showVal val="1"/>
        </c:dLbls>
        <c:overlap val="-25"/>
        <c:axId val="103440768"/>
        <c:axId val="103442304"/>
      </c:barChart>
      <c:catAx>
        <c:axId val="103440768"/>
        <c:scaling>
          <c:orientation val="minMax"/>
        </c:scaling>
        <c:axPos val="b"/>
        <c:majorTickMark val="none"/>
        <c:tickLblPos val="nextTo"/>
        <c:txPr>
          <a:bodyPr/>
          <a:lstStyle/>
          <a:p>
            <a:pPr>
              <a:defRPr sz="700"/>
            </a:pPr>
            <a:endParaRPr lang="fr-FR"/>
          </a:p>
        </c:txPr>
        <c:crossAx val="103442304"/>
        <c:crosses val="autoZero"/>
        <c:auto val="1"/>
        <c:lblAlgn val="ctr"/>
        <c:lblOffset val="100"/>
      </c:catAx>
      <c:valAx>
        <c:axId val="103442304"/>
        <c:scaling>
          <c:orientation val="minMax"/>
          <c:min val="11"/>
        </c:scaling>
        <c:delete val="1"/>
        <c:axPos val="l"/>
        <c:numFmt formatCode="0.0" sourceLinked="1"/>
        <c:tickLblPos val="none"/>
        <c:crossAx val="103440768"/>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C646D-1BC0-43B4-B9CC-84D7B981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Pages>
  <Words>886</Words>
  <Characters>4873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4</cp:revision>
  <dcterms:created xsi:type="dcterms:W3CDTF">2011-05-15T06:15:00Z</dcterms:created>
  <dcterms:modified xsi:type="dcterms:W3CDTF">2011-05-15T13:34:00Z</dcterms:modified>
</cp:coreProperties>
</file>