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561" w:rsidRPr="00707BC0" w:rsidRDefault="00474561" w:rsidP="00707BC0">
      <w:pPr>
        <w:jc w:val="center"/>
        <w:rPr>
          <w:sz w:val="24"/>
        </w:rPr>
      </w:pPr>
      <w:r w:rsidRPr="00707BC0">
        <w:rPr>
          <w:sz w:val="24"/>
        </w:rPr>
        <w:t>Project Alice</w:t>
      </w:r>
    </w:p>
    <w:p w:rsidR="00474561" w:rsidRDefault="00474561" w:rsidP="00707BC0">
      <w:pPr>
        <w:jc w:val="center"/>
        <w:rPr>
          <w:sz w:val="24"/>
        </w:rPr>
      </w:pPr>
      <w:r w:rsidRPr="00707BC0">
        <w:rPr>
          <w:sz w:val="24"/>
        </w:rPr>
        <w:t>Rapport de Situation a 10/5/2011</w:t>
      </w:r>
    </w:p>
    <w:p w:rsidR="00707BC0" w:rsidRDefault="00707BC0" w:rsidP="00707BC0">
      <w:pPr>
        <w:jc w:val="center"/>
        <w:rPr>
          <w:sz w:val="24"/>
        </w:rPr>
      </w:pPr>
    </w:p>
    <w:p w:rsidR="00EF1DBD" w:rsidRDefault="0031154B" w:rsidP="0031154B">
      <w:pPr>
        <w:jc w:val="both"/>
        <w:rPr>
          <w:sz w:val="24"/>
        </w:rPr>
      </w:pPr>
      <w:r>
        <w:rPr>
          <w:sz w:val="24"/>
        </w:rPr>
        <w:t xml:space="preserve">Apres la </w:t>
      </w:r>
      <w:r w:rsidR="00EF1DBD">
        <w:rPr>
          <w:sz w:val="24"/>
        </w:rPr>
        <w:t>décision</w:t>
      </w:r>
      <w:r>
        <w:rPr>
          <w:sz w:val="24"/>
        </w:rPr>
        <w:t xml:space="preserve"> du TA de Bordeaux</w:t>
      </w:r>
      <w:r w:rsidR="00EF1DBD">
        <w:rPr>
          <w:sz w:val="24"/>
        </w:rPr>
        <w:t>, Sieds pense que Sorégies est en</w:t>
      </w:r>
      <w:r>
        <w:rPr>
          <w:sz w:val="24"/>
        </w:rPr>
        <w:t xml:space="preserve"> position de </w:t>
      </w:r>
      <w:r w:rsidR="00EF1DBD">
        <w:rPr>
          <w:sz w:val="24"/>
        </w:rPr>
        <w:t>faiblesse</w:t>
      </w:r>
      <w:r>
        <w:rPr>
          <w:sz w:val="24"/>
        </w:rPr>
        <w:t xml:space="preserve"> comme </w:t>
      </w:r>
      <w:r w:rsidR="00EF1DBD">
        <w:rPr>
          <w:sz w:val="24"/>
        </w:rPr>
        <w:t>actionnaire</w:t>
      </w:r>
      <w:r>
        <w:rPr>
          <w:sz w:val="24"/>
        </w:rPr>
        <w:t xml:space="preserve"> minoritaire dépourvu de pacte d’</w:t>
      </w:r>
      <w:r w:rsidR="00EF1DBD">
        <w:rPr>
          <w:sz w:val="24"/>
        </w:rPr>
        <w:t>actionnaires</w:t>
      </w:r>
      <w:r>
        <w:rPr>
          <w:sz w:val="24"/>
        </w:rPr>
        <w:t>. L’offre d’</w:t>
      </w:r>
      <w:r w:rsidR="00EF1DBD">
        <w:rPr>
          <w:sz w:val="24"/>
        </w:rPr>
        <w:t>acquisition</w:t>
      </w:r>
      <w:r>
        <w:rPr>
          <w:sz w:val="24"/>
        </w:rPr>
        <w:t xml:space="preserve"> d</w:t>
      </w:r>
      <w:r w:rsidR="00EF1DBD">
        <w:rPr>
          <w:sz w:val="24"/>
        </w:rPr>
        <w:t xml:space="preserve">e la part de </w:t>
      </w:r>
      <w:r>
        <w:rPr>
          <w:sz w:val="24"/>
        </w:rPr>
        <w:t xml:space="preserve">15% </w:t>
      </w:r>
      <w:r w:rsidR="00EF1DBD">
        <w:rPr>
          <w:sz w:val="24"/>
        </w:rPr>
        <w:t>à</w:t>
      </w:r>
      <w:r>
        <w:rPr>
          <w:sz w:val="24"/>
        </w:rPr>
        <w:t xml:space="preserve"> 13.5 M€, valeur </w:t>
      </w:r>
      <w:r w:rsidR="00EF1DBD">
        <w:rPr>
          <w:sz w:val="24"/>
        </w:rPr>
        <w:t>inferieur</w:t>
      </w:r>
      <w:r>
        <w:rPr>
          <w:sz w:val="24"/>
        </w:rPr>
        <w:t xml:space="preserve"> à la proposition </w:t>
      </w:r>
      <w:r w:rsidR="00EF1DBD">
        <w:rPr>
          <w:sz w:val="24"/>
        </w:rPr>
        <w:t>précédente</w:t>
      </w:r>
      <w:r>
        <w:rPr>
          <w:sz w:val="24"/>
        </w:rPr>
        <w:t xml:space="preserve"> (13.8M€)</w:t>
      </w:r>
      <w:r w:rsidR="00EF1DBD">
        <w:rPr>
          <w:sz w:val="24"/>
        </w:rPr>
        <w:t>,</w:t>
      </w:r>
      <w:r>
        <w:rPr>
          <w:sz w:val="24"/>
        </w:rPr>
        <w:t xml:space="preserve"> montre bien que Sieds </w:t>
      </w:r>
      <w:r w:rsidR="00EF1DBD">
        <w:rPr>
          <w:sz w:val="24"/>
        </w:rPr>
        <w:t xml:space="preserve">comprends </w:t>
      </w:r>
      <w:r>
        <w:rPr>
          <w:sz w:val="24"/>
        </w:rPr>
        <w:t xml:space="preserve">que </w:t>
      </w:r>
      <w:r w:rsidR="00EF1DBD">
        <w:rPr>
          <w:sz w:val="24"/>
        </w:rPr>
        <w:t>Sorégies</w:t>
      </w:r>
      <w:r>
        <w:rPr>
          <w:sz w:val="24"/>
        </w:rPr>
        <w:t xml:space="preserve"> va avoir des </w:t>
      </w:r>
      <w:r w:rsidR="00EF1DBD">
        <w:rPr>
          <w:sz w:val="24"/>
        </w:rPr>
        <w:t>difficultés</w:t>
      </w:r>
      <w:r>
        <w:rPr>
          <w:sz w:val="24"/>
        </w:rPr>
        <w:t xml:space="preserve"> pour sortir de la situation </w:t>
      </w:r>
      <w:r w:rsidR="00EF1DBD">
        <w:rPr>
          <w:sz w:val="24"/>
        </w:rPr>
        <w:t>actuelle.</w:t>
      </w:r>
    </w:p>
    <w:p w:rsidR="0031154B" w:rsidRDefault="00EF1DBD" w:rsidP="0031154B">
      <w:pPr>
        <w:jc w:val="both"/>
        <w:rPr>
          <w:sz w:val="24"/>
        </w:rPr>
      </w:pPr>
      <w:r>
        <w:rPr>
          <w:sz w:val="24"/>
        </w:rPr>
        <w:t>La stratégie de Sorégies passe nécessairement pour montrer que la vente a un tiers est possible (et certainement plus rentable que l’offre de Sorégies), mais qu’il s’agit d’un procès très long durant le quel Sorégies va surveiller de façon très étroite la gestion de l’entreprise et les évolutions que éventuellement pourraient avoir un impacte en la valeur de la participation</w:t>
      </w:r>
    </w:p>
    <w:p w:rsidR="0031154B" w:rsidRPr="00707BC0" w:rsidRDefault="0031154B" w:rsidP="00707BC0">
      <w:pPr>
        <w:jc w:val="center"/>
        <w:rPr>
          <w:sz w:val="24"/>
        </w:rPr>
      </w:pPr>
    </w:p>
    <w:p w:rsidR="00474561" w:rsidRDefault="00707BC0" w:rsidP="00EF1DBD">
      <w:pPr>
        <w:pStyle w:val="Paragraphedeliste"/>
        <w:numPr>
          <w:ilvl w:val="0"/>
          <w:numId w:val="1"/>
        </w:numPr>
        <w:spacing w:line="360" w:lineRule="auto"/>
        <w:ind w:left="714" w:hanging="357"/>
      </w:pPr>
      <w:r>
        <w:t>Position de Sorégies face à la r</w:t>
      </w:r>
      <w:r w:rsidR="00474561">
        <w:t xml:space="preserve">éponse </w:t>
      </w:r>
      <w:r>
        <w:t>de</w:t>
      </w:r>
      <w:r w:rsidR="00474561">
        <w:t xml:space="preserve"> Séolis</w:t>
      </w:r>
      <w:r>
        <w:t>/Sieds pour acquisition de 15%</w:t>
      </w:r>
    </w:p>
    <w:p w:rsidR="00474561" w:rsidRDefault="00474561" w:rsidP="00474561">
      <w:pPr>
        <w:pStyle w:val="Paragraphedeliste"/>
        <w:numPr>
          <w:ilvl w:val="0"/>
          <w:numId w:val="2"/>
        </w:numPr>
      </w:pPr>
      <w:r>
        <w:t xml:space="preserve">L’offre </w:t>
      </w:r>
      <w:r w:rsidR="00707BC0">
        <w:t>proposée</w:t>
      </w:r>
      <w:r>
        <w:t xml:space="preserve"> par Séolis </w:t>
      </w:r>
      <w:r w:rsidR="00707BC0">
        <w:t xml:space="preserve">(13.5 M€) </w:t>
      </w:r>
      <w:r>
        <w:t>ne réponde pas aux attentes de Sorégies.</w:t>
      </w:r>
    </w:p>
    <w:p w:rsidR="00474561" w:rsidRDefault="00474561" w:rsidP="00474561">
      <w:pPr>
        <w:pStyle w:val="Paragraphedeliste"/>
        <w:numPr>
          <w:ilvl w:val="0"/>
          <w:numId w:val="2"/>
        </w:numPr>
      </w:pPr>
      <w:r>
        <w:t>Le fait d’avoir proposé un montant inferieur à leur offre précédent montre bien que Séolis/Sieds se sent gagnant après l’arrêt du tribunal Administrative de Bordeaux.</w:t>
      </w:r>
    </w:p>
    <w:p w:rsidR="00474561" w:rsidRDefault="00474561" w:rsidP="00474561">
      <w:pPr>
        <w:pStyle w:val="Paragraphedeliste"/>
        <w:numPr>
          <w:ilvl w:val="0"/>
          <w:numId w:val="2"/>
        </w:numPr>
      </w:pPr>
      <w:r>
        <w:t>Une offre aussi bas (inferieur à la valeur des fonds propres</w:t>
      </w:r>
      <w:r>
        <w:rPr>
          <w:rStyle w:val="Appelnotedebasdep"/>
        </w:rPr>
        <w:footnoteReference w:id="1"/>
      </w:r>
      <w:r>
        <w:t>) permettre Sorégies de chercher une autre solution pour la cession du 15% de Séolis</w:t>
      </w:r>
      <w:r w:rsidRPr="000E0E92">
        <w:rPr>
          <w:u w:val="single"/>
        </w:rPr>
        <w:t xml:space="preserve">. Politiquement il est justifié la vente </w:t>
      </w:r>
      <w:r w:rsidR="009D668B" w:rsidRPr="000E0E92">
        <w:rPr>
          <w:u w:val="single"/>
        </w:rPr>
        <w:t>à</w:t>
      </w:r>
      <w:r w:rsidRPr="000E0E92">
        <w:rPr>
          <w:u w:val="single"/>
        </w:rPr>
        <w:t xml:space="preserve"> un tiers</w:t>
      </w:r>
    </w:p>
    <w:p w:rsidR="00474561" w:rsidRDefault="00474561" w:rsidP="00474561">
      <w:pPr>
        <w:pStyle w:val="Paragraphedeliste"/>
        <w:numPr>
          <w:ilvl w:val="0"/>
          <w:numId w:val="2"/>
        </w:numPr>
      </w:pPr>
      <w:r>
        <w:t>Réponse de Sorégies a Séolis/Sieds</w:t>
      </w:r>
    </w:p>
    <w:p w:rsidR="00474561" w:rsidRDefault="00474561" w:rsidP="00474561">
      <w:pPr>
        <w:pStyle w:val="Paragraphedeliste"/>
        <w:numPr>
          <w:ilvl w:val="1"/>
          <w:numId w:val="2"/>
        </w:numPr>
      </w:pPr>
      <w:r>
        <w:t xml:space="preserve"> confirmation du souhait de sortie de Séolis</w:t>
      </w:r>
    </w:p>
    <w:p w:rsidR="00474561" w:rsidRDefault="00474561" w:rsidP="00474561">
      <w:pPr>
        <w:pStyle w:val="Paragraphedeliste"/>
        <w:numPr>
          <w:ilvl w:val="1"/>
          <w:numId w:val="2"/>
        </w:numPr>
      </w:pPr>
      <w:r>
        <w:t xml:space="preserve"> vente à un tiers</w:t>
      </w:r>
      <w:r w:rsidR="009D668B">
        <w:rPr>
          <w:rStyle w:val="Appelnotedebasdep"/>
        </w:rPr>
        <w:footnoteReference w:id="2"/>
      </w:r>
      <w:r>
        <w:t xml:space="preserve"> en cas que Sieds n’améliore pas leur offre (Sorégies maintient son offre à Sieds</w:t>
      </w:r>
      <w:r>
        <w:rPr>
          <w:rStyle w:val="Appelnotedebasdep"/>
        </w:rPr>
        <w:footnoteReference w:id="3"/>
      </w:r>
      <w:r>
        <w:t>)</w:t>
      </w:r>
      <w:r w:rsidR="00707BC0">
        <w:t>,</w:t>
      </w:r>
    </w:p>
    <w:p w:rsidR="00474561" w:rsidRDefault="00474561" w:rsidP="00474561">
      <w:pPr>
        <w:pStyle w:val="Paragraphedeliste"/>
        <w:numPr>
          <w:ilvl w:val="1"/>
          <w:numId w:val="2"/>
        </w:numPr>
      </w:pPr>
      <w:r>
        <w:t>Renforcement des mesures pour veiller que la valeur de son participation en Séolis ne perde pas de la valeur durant le procès de vente</w:t>
      </w:r>
      <w:r>
        <w:rPr>
          <w:rStyle w:val="Appelnotedebasdep"/>
        </w:rPr>
        <w:footnoteReference w:id="4"/>
      </w:r>
      <w:r w:rsidR="00707BC0">
        <w:t>, et</w:t>
      </w:r>
    </w:p>
    <w:p w:rsidR="00474561" w:rsidRDefault="00707BC0" w:rsidP="00474561">
      <w:pPr>
        <w:pStyle w:val="Paragraphedeliste"/>
        <w:numPr>
          <w:ilvl w:val="1"/>
          <w:numId w:val="2"/>
        </w:numPr>
      </w:pPr>
      <w:r>
        <w:t>l</w:t>
      </w:r>
      <w:r w:rsidR="00474561">
        <w:t>es procédures légales, recours en  cassation T. Administratif  et procédures tribunal de Commerces  seront poursuivies</w:t>
      </w:r>
      <w:r w:rsidR="00474561">
        <w:rPr>
          <w:rStyle w:val="Appelnotedebasdep"/>
        </w:rPr>
        <w:footnoteReference w:id="5"/>
      </w:r>
    </w:p>
    <w:p w:rsidR="00707BC0" w:rsidRDefault="00707BC0" w:rsidP="00707BC0">
      <w:pPr>
        <w:ind w:left="1080"/>
      </w:pPr>
    </w:p>
    <w:p w:rsidR="00707BC0" w:rsidRDefault="00707BC0" w:rsidP="00707BC0">
      <w:pPr>
        <w:pStyle w:val="Paragraphedeliste"/>
        <w:numPr>
          <w:ilvl w:val="0"/>
          <w:numId w:val="1"/>
        </w:numPr>
      </w:pPr>
      <w:r>
        <w:lastRenderedPageBreak/>
        <w:t xml:space="preserve">Prochaines </w:t>
      </w:r>
      <w:r w:rsidR="009D668B">
        <w:t>étapes</w:t>
      </w:r>
    </w:p>
    <w:p w:rsidR="00474561" w:rsidRDefault="00707BC0" w:rsidP="00707BC0">
      <w:pPr>
        <w:pStyle w:val="Paragraphedeliste"/>
        <w:numPr>
          <w:ilvl w:val="0"/>
          <w:numId w:val="5"/>
        </w:numPr>
      </w:pPr>
      <w:r>
        <w:t xml:space="preserve">Niveau </w:t>
      </w:r>
      <w:r w:rsidR="009D668B">
        <w:t>Légal</w:t>
      </w:r>
      <w:r>
        <w:t> :</w:t>
      </w:r>
    </w:p>
    <w:p w:rsidR="00707BC0" w:rsidRDefault="00707BC0" w:rsidP="00707BC0">
      <w:pPr>
        <w:pStyle w:val="Paragraphedeliste"/>
        <w:numPr>
          <w:ilvl w:val="1"/>
          <w:numId w:val="5"/>
        </w:numPr>
      </w:pPr>
      <w:r>
        <w:t xml:space="preserve">Evaluation </w:t>
      </w:r>
      <w:r w:rsidR="009D668B">
        <w:t>arrêt</w:t>
      </w:r>
      <w:r>
        <w:t xml:space="preserve"> tribunal Administratif de Bordeaux. </w:t>
      </w:r>
      <w:r w:rsidR="009D668B">
        <w:t>Analyses</w:t>
      </w:r>
      <w:r>
        <w:t xml:space="preserve"> de recours en </w:t>
      </w:r>
      <w:r w:rsidR="009D668B">
        <w:t>cassation</w:t>
      </w:r>
    </w:p>
    <w:p w:rsidR="00707BC0" w:rsidRDefault="00707BC0" w:rsidP="00707BC0">
      <w:pPr>
        <w:pStyle w:val="Paragraphedeliste"/>
        <w:numPr>
          <w:ilvl w:val="1"/>
          <w:numId w:val="5"/>
        </w:numPr>
      </w:pPr>
      <w:r>
        <w:t xml:space="preserve">Analyse, décision et déploiement d’un plan d’action pour </w:t>
      </w:r>
      <w:r w:rsidR="009D668B">
        <w:t xml:space="preserve">garantir le </w:t>
      </w:r>
      <w:r>
        <w:t xml:space="preserve">maintien de la valeur de la </w:t>
      </w:r>
      <w:r w:rsidR="009D668B">
        <w:t>participation</w:t>
      </w:r>
      <w:r>
        <w:t xml:space="preserve"> en </w:t>
      </w:r>
      <w:r w:rsidR="009D668B">
        <w:t>Séolis</w:t>
      </w:r>
    </w:p>
    <w:p w:rsidR="00C234B2" w:rsidRDefault="00707BC0" w:rsidP="00707BC0">
      <w:pPr>
        <w:pStyle w:val="Paragraphedeliste"/>
        <w:numPr>
          <w:ilvl w:val="0"/>
          <w:numId w:val="5"/>
        </w:numPr>
      </w:pPr>
      <w:r>
        <w:t>Niveau Commercial :</w:t>
      </w:r>
    </w:p>
    <w:p w:rsidR="00707BC0" w:rsidRDefault="009D668B" w:rsidP="00707BC0">
      <w:pPr>
        <w:pStyle w:val="Paragraphedeliste"/>
        <w:numPr>
          <w:ilvl w:val="1"/>
          <w:numId w:val="5"/>
        </w:numPr>
      </w:pPr>
      <w:r>
        <w:t>Présenter à M. Dutruc la réponse de Sorégies a l’offre de Séolis</w:t>
      </w:r>
    </w:p>
    <w:p w:rsidR="009D668B" w:rsidRDefault="009D668B" w:rsidP="00707BC0">
      <w:pPr>
        <w:pStyle w:val="Paragraphedeliste"/>
        <w:numPr>
          <w:ilvl w:val="1"/>
          <w:numId w:val="5"/>
        </w:numPr>
      </w:pPr>
      <w:r>
        <w:t>Commencer à préparer la vente a un tiers</w:t>
      </w:r>
    </w:p>
    <w:p w:rsidR="009D668B" w:rsidRDefault="009D668B" w:rsidP="009D668B">
      <w:pPr>
        <w:pStyle w:val="Paragraphedeliste"/>
        <w:numPr>
          <w:ilvl w:val="0"/>
          <w:numId w:val="5"/>
        </w:numPr>
      </w:pPr>
      <w:r>
        <w:t>Niveau Politique</w:t>
      </w:r>
    </w:p>
    <w:p w:rsidR="009D668B" w:rsidRDefault="009D668B" w:rsidP="009D668B">
      <w:pPr>
        <w:pStyle w:val="Paragraphedeliste"/>
        <w:numPr>
          <w:ilvl w:val="1"/>
          <w:numId w:val="5"/>
        </w:numPr>
      </w:pPr>
      <w:r>
        <w:t>Analyse d’un plan d’action à niveau politique.</w:t>
      </w:r>
    </w:p>
    <w:sectPr w:rsidR="009D668B" w:rsidSect="00014B8F">
      <w:headerReference w:type="default" r:id="rId8"/>
      <w:footerReference w:type="default" r:id="rId9"/>
      <w:pgSz w:w="11906" w:h="16838"/>
      <w:pgMar w:top="1418" w:right="1418" w:bottom="1134" w:left="1418" w:header="709" w:footer="79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BC1" w:rsidRDefault="00B04BC1" w:rsidP="00C97B7E">
      <w:pPr>
        <w:spacing w:after="0" w:line="240" w:lineRule="auto"/>
      </w:pPr>
      <w:r>
        <w:separator/>
      </w:r>
    </w:p>
  </w:endnote>
  <w:endnote w:type="continuationSeparator" w:id="0">
    <w:p w:rsidR="00B04BC1" w:rsidRDefault="00B04BC1" w:rsidP="00C97B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B7E" w:rsidRPr="00E455EC" w:rsidRDefault="00C97B7E" w:rsidP="00C97B7E">
    <w:pPr>
      <w:pStyle w:val="Pieddepage"/>
      <w:jc w:val="center"/>
      <w:rPr>
        <w:color w:val="17365D"/>
        <w:sz w:val="16"/>
      </w:rPr>
    </w:pPr>
    <w:r w:rsidRPr="00E455EC">
      <w:rPr>
        <w:color w:val="17365D"/>
        <w:sz w:val="16"/>
      </w:rPr>
      <w:t>Haya Energy Solutions Soci</w:t>
    </w:r>
    <w:r>
      <w:rPr>
        <w:color w:val="17365D"/>
        <w:sz w:val="16"/>
      </w:rPr>
      <w:t>é</w:t>
    </w:r>
    <w:r w:rsidRPr="00E455EC">
      <w:rPr>
        <w:color w:val="17365D"/>
        <w:sz w:val="16"/>
      </w:rPr>
      <w:t xml:space="preserve">té </w:t>
    </w:r>
    <w:r>
      <w:rPr>
        <w:color w:val="17365D"/>
        <w:sz w:val="16"/>
      </w:rPr>
      <w:t>par Actions</w:t>
    </w:r>
    <w:r w:rsidRPr="00E455EC">
      <w:rPr>
        <w:color w:val="17365D"/>
        <w:sz w:val="16"/>
      </w:rPr>
      <w:t xml:space="preserve"> Simplifié</w:t>
    </w:r>
    <w:r>
      <w:rPr>
        <w:color w:val="17365D"/>
        <w:sz w:val="16"/>
      </w:rPr>
      <w:t>e</w:t>
    </w:r>
    <w:r w:rsidRPr="00E455EC">
      <w:rPr>
        <w:color w:val="17365D"/>
        <w:sz w:val="16"/>
      </w:rPr>
      <w:t xml:space="preserve"> </w:t>
    </w:r>
    <w:r>
      <w:rPr>
        <w:color w:val="17365D"/>
        <w:sz w:val="16"/>
      </w:rPr>
      <w:t>au</w:t>
    </w:r>
    <w:r w:rsidRPr="00E455EC">
      <w:rPr>
        <w:color w:val="17365D"/>
        <w:sz w:val="16"/>
      </w:rPr>
      <w:t xml:space="preserve"> </w:t>
    </w:r>
    <w:r>
      <w:rPr>
        <w:color w:val="17365D"/>
        <w:sz w:val="16"/>
      </w:rPr>
      <w:t>c</w:t>
    </w:r>
    <w:r w:rsidRPr="00E455EC">
      <w:rPr>
        <w:color w:val="17365D"/>
        <w:sz w:val="16"/>
      </w:rPr>
      <w:t xml:space="preserve">apital </w:t>
    </w:r>
    <w:r>
      <w:rPr>
        <w:color w:val="17365D"/>
        <w:sz w:val="16"/>
      </w:rPr>
      <w:t xml:space="preserve">social de </w:t>
    </w:r>
    <w:r w:rsidRPr="00E455EC">
      <w:rPr>
        <w:color w:val="17365D"/>
        <w:sz w:val="16"/>
      </w:rPr>
      <w:t>5.000€</w:t>
    </w:r>
  </w:p>
  <w:p w:rsidR="00C97B7E" w:rsidRPr="00E455EC" w:rsidRDefault="00C97B7E" w:rsidP="00C97B7E">
    <w:pPr>
      <w:pStyle w:val="Pieddepage"/>
      <w:jc w:val="center"/>
      <w:rPr>
        <w:color w:val="17365D"/>
        <w:sz w:val="16"/>
      </w:rPr>
    </w:pPr>
    <w:r w:rsidRPr="00E455EC">
      <w:rPr>
        <w:color w:val="17365D"/>
        <w:sz w:val="16"/>
      </w:rPr>
      <w:t xml:space="preserve"> Si</w:t>
    </w:r>
    <w:r>
      <w:rPr>
        <w:color w:val="17365D"/>
        <w:sz w:val="16"/>
      </w:rPr>
      <w:t>è</w:t>
    </w:r>
    <w:r w:rsidRPr="00E455EC">
      <w:rPr>
        <w:color w:val="17365D"/>
        <w:sz w:val="16"/>
      </w:rPr>
      <w:t xml:space="preserve">ge </w:t>
    </w:r>
    <w:r>
      <w:rPr>
        <w:color w:val="17365D"/>
        <w:sz w:val="16"/>
      </w:rPr>
      <w:t>s</w:t>
    </w:r>
    <w:r w:rsidRPr="00E455EC">
      <w:rPr>
        <w:color w:val="17365D"/>
        <w:sz w:val="16"/>
      </w:rPr>
      <w:t>ocial 37, Rue des merlettes 78360 Montesson.</w:t>
    </w:r>
  </w:p>
  <w:p w:rsidR="00C97B7E" w:rsidRPr="00C97B7E" w:rsidRDefault="00C97B7E" w:rsidP="00C97B7E">
    <w:pPr>
      <w:pStyle w:val="Pieddepage"/>
      <w:jc w:val="center"/>
      <w:rPr>
        <w:color w:val="17365D"/>
        <w:sz w:val="16"/>
      </w:rPr>
    </w:pPr>
    <w:r w:rsidRPr="00E455EC">
      <w:rPr>
        <w:color w:val="17365D"/>
        <w:sz w:val="16"/>
      </w:rPr>
      <w:t xml:space="preserve"> RCS Versailles 529 779 373,  SIRET 52977937300016, TVA FR18529779373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BC1" w:rsidRDefault="00B04BC1" w:rsidP="00C97B7E">
      <w:pPr>
        <w:spacing w:after="0" w:line="240" w:lineRule="auto"/>
      </w:pPr>
      <w:r>
        <w:separator/>
      </w:r>
    </w:p>
  </w:footnote>
  <w:footnote w:type="continuationSeparator" w:id="0">
    <w:p w:rsidR="00B04BC1" w:rsidRDefault="00B04BC1" w:rsidP="00C97B7E">
      <w:pPr>
        <w:spacing w:after="0" w:line="240" w:lineRule="auto"/>
      </w:pPr>
      <w:r>
        <w:continuationSeparator/>
      </w:r>
    </w:p>
  </w:footnote>
  <w:footnote w:id="1">
    <w:p w:rsidR="00474561" w:rsidRDefault="00474561" w:rsidP="00474561">
      <w:pPr>
        <w:pStyle w:val="Notedebasdepage"/>
      </w:pPr>
      <w:r>
        <w:rPr>
          <w:rStyle w:val="Appelnotedebasdep"/>
        </w:rPr>
        <w:footnoteRef/>
      </w:r>
      <w:r>
        <w:t xml:space="preserve"> HES : à vérifier</w:t>
      </w:r>
    </w:p>
  </w:footnote>
  <w:footnote w:id="2">
    <w:p w:rsidR="009D668B" w:rsidRDefault="009D668B">
      <w:pPr>
        <w:pStyle w:val="Notedebasdepage"/>
      </w:pPr>
      <w:r>
        <w:rPr>
          <w:rStyle w:val="Appelnotedebasdep"/>
        </w:rPr>
        <w:footnoteRef/>
      </w:r>
      <w:r>
        <w:t xml:space="preserve"> HES : prépare un planning de procès de vente </w:t>
      </w:r>
      <w:proofErr w:type="gramStart"/>
      <w:r>
        <w:t>a</w:t>
      </w:r>
      <w:proofErr w:type="gramEnd"/>
      <w:r>
        <w:t xml:space="preserve"> un tiers (spécial focus en l’agrément)</w:t>
      </w:r>
    </w:p>
  </w:footnote>
  <w:footnote w:id="3">
    <w:p w:rsidR="00474561" w:rsidRDefault="00474561" w:rsidP="00474561">
      <w:pPr>
        <w:pStyle w:val="Notedebasdepage"/>
      </w:pPr>
      <w:r>
        <w:rPr>
          <w:rStyle w:val="Appelnotedebasdep"/>
        </w:rPr>
        <w:footnoteRef/>
      </w:r>
      <w:r>
        <w:t xml:space="preserve"> HES : Le temps que l’offre reste valable doit </w:t>
      </w:r>
      <w:r w:rsidR="009D668B">
        <w:t>être</w:t>
      </w:r>
      <w:r>
        <w:t xml:space="preserve"> analysé soigneusement du point de vu </w:t>
      </w:r>
      <w:r w:rsidR="009D668B">
        <w:t>légal</w:t>
      </w:r>
      <w:r>
        <w:t>, commercial et politique</w:t>
      </w:r>
      <w:r w:rsidR="00707BC0">
        <w:t>. Développer un Planning immédiat.</w:t>
      </w:r>
    </w:p>
  </w:footnote>
  <w:footnote w:id="4">
    <w:p w:rsidR="00474561" w:rsidRDefault="00474561">
      <w:pPr>
        <w:pStyle w:val="Notedebasdepage"/>
      </w:pPr>
      <w:r>
        <w:rPr>
          <w:rStyle w:val="Appelnotedebasdep"/>
        </w:rPr>
        <w:footnoteRef/>
      </w:r>
      <w:r>
        <w:t xml:space="preserve"> Sorégies/ Conseil juridique </w:t>
      </w:r>
      <w:r w:rsidR="009D668B">
        <w:t>Sorégies</w:t>
      </w:r>
      <w:r>
        <w:t> : Analyse des droits de Sorégies comme actionnaire dépourvu de pacte d’</w:t>
      </w:r>
      <w:r w:rsidR="009D668B">
        <w:t>actionnaires (support Statuts de la société et droit de commerce)</w:t>
      </w:r>
      <w:r>
        <w:t xml:space="preserve">. Focus </w:t>
      </w:r>
      <w:r w:rsidR="009D668B">
        <w:t>Spécial</w:t>
      </w:r>
      <w:r>
        <w:t xml:space="preserve"> en </w:t>
      </w:r>
      <w:r w:rsidR="009D668B">
        <w:t>procès</w:t>
      </w:r>
      <w:r>
        <w:t xml:space="preserve"> </w:t>
      </w:r>
      <w:r w:rsidR="009D668B">
        <w:t>immédiats</w:t>
      </w:r>
      <w:r>
        <w:t> :</w:t>
      </w:r>
    </w:p>
    <w:p w:rsidR="00474561" w:rsidRDefault="00EF1DBD" w:rsidP="00474561">
      <w:pPr>
        <w:pStyle w:val="Notedebasdepage"/>
        <w:numPr>
          <w:ilvl w:val="0"/>
          <w:numId w:val="3"/>
        </w:numPr>
      </w:pPr>
      <w:r>
        <w:t>A</w:t>
      </w:r>
      <w:r w:rsidR="00474561">
        <w:t>mpliation de capital de Séolis</w:t>
      </w:r>
    </w:p>
    <w:p w:rsidR="00474561" w:rsidRDefault="00474561" w:rsidP="00474561">
      <w:pPr>
        <w:pStyle w:val="Notedebasdepage"/>
        <w:numPr>
          <w:ilvl w:val="0"/>
          <w:numId w:val="3"/>
        </w:numPr>
      </w:pPr>
      <w:r>
        <w:t xml:space="preserve">Cession ou Ampliation de capital de </w:t>
      </w:r>
      <w:r w:rsidR="009D668B">
        <w:t>Gérédis</w:t>
      </w:r>
    </w:p>
    <w:p w:rsidR="00474561" w:rsidRDefault="00474561" w:rsidP="00474561">
      <w:pPr>
        <w:pStyle w:val="Notedebasdepage"/>
        <w:numPr>
          <w:ilvl w:val="0"/>
          <w:numId w:val="3"/>
        </w:numPr>
      </w:pPr>
      <w:r>
        <w:t xml:space="preserve"> Traitement de conventions </w:t>
      </w:r>
      <w:r w:rsidR="009D668B">
        <w:t>réglementées</w:t>
      </w:r>
    </w:p>
  </w:footnote>
  <w:footnote w:id="5">
    <w:p w:rsidR="00474561" w:rsidRDefault="00474561">
      <w:pPr>
        <w:pStyle w:val="Notedebasdepage"/>
      </w:pPr>
      <w:r>
        <w:rPr>
          <w:rStyle w:val="Appelnotedebasdep"/>
        </w:rPr>
        <w:footnoteRef/>
      </w:r>
      <w:r>
        <w:t xml:space="preserve"> Sorégies/ Conseil juridique </w:t>
      </w:r>
      <w:r w:rsidR="009D668B">
        <w:t>Sorégies</w:t>
      </w:r>
      <w:r>
        <w:t> : analyse de l’</w:t>
      </w:r>
      <w:r w:rsidR="009D668B">
        <w:t>arrêt</w:t>
      </w:r>
      <w:r>
        <w:t xml:space="preserve"> du TA de Bordeaux et l’appel en </w:t>
      </w:r>
      <w:r w:rsidR="009D668B">
        <w:t>cassation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B7E" w:rsidRDefault="00C97B7E">
    <w:pPr>
      <w:pStyle w:val="En-tte"/>
    </w:pPr>
    <w:r w:rsidRPr="0015738A">
      <w:rPr>
        <w:color w:val="17365D"/>
        <w:sz w:val="36"/>
        <w:lang w:val="en-US"/>
      </w:rPr>
      <w:t xml:space="preserve">Haya </w:t>
    </w:r>
    <w:r w:rsidRPr="0015738A">
      <w:rPr>
        <w:b/>
        <w:bCs/>
        <w:color w:val="17365D"/>
        <w:sz w:val="36"/>
        <w:lang w:val="en-US"/>
      </w:rPr>
      <w:t xml:space="preserve">Energy </w:t>
    </w:r>
    <w:r w:rsidRPr="0015738A">
      <w:rPr>
        <w:color w:val="17365D"/>
        <w:sz w:val="36"/>
        <w:lang w:val="en-US"/>
      </w:rPr>
      <w:t xml:space="preserve">Solutions </w:t>
    </w:r>
    <w:r w:rsidRPr="0015738A">
      <w:rPr>
        <w:color w:val="17365D"/>
        <w:sz w:val="36"/>
        <w:lang w:val="en-US"/>
      </w:rPr>
      <w:sym w:font="Webdings" w:char="00F0"/>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44069"/>
    <w:multiLevelType w:val="hybridMultilevel"/>
    <w:tmpl w:val="179C1826"/>
    <w:lvl w:ilvl="0" w:tplc="040C0001">
      <w:start w:val="1"/>
      <w:numFmt w:val="bullet"/>
      <w:lvlText w:val=""/>
      <w:lvlJc w:val="left"/>
      <w:pPr>
        <w:ind w:left="720" w:hanging="360"/>
      </w:pPr>
      <w:rPr>
        <w:rFonts w:ascii="Symbol" w:hAnsi="Symbol" w:hint="default"/>
      </w:rPr>
    </w:lvl>
    <w:lvl w:ilvl="1" w:tplc="040C001B">
      <w:start w:val="1"/>
      <w:numFmt w:val="low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F62136"/>
    <w:multiLevelType w:val="hybridMultilevel"/>
    <w:tmpl w:val="106697C0"/>
    <w:lvl w:ilvl="0" w:tplc="1110E422">
      <w:start w:val="1"/>
      <w:numFmt w:val="decimal"/>
      <w:lvlText w:val="%1."/>
      <w:lvlJc w:val="left"/>
      <w:pPr>
        <w:ind w:left="-351" w:hanging="360"/>
      </w:pPr>
    </w:lvl>
    <w:lvl w:ilvl="1" w:tplc="040C0019" w:tentative="1">
      <w:start w:val="1"/>
      <w:numFmt w:val="lowerLetter"/>
      <w:lvlText w:val="%2."/>
      <w:lvlJc w:val="left"/>
      <w:pPr>
        <w:ind w:left="369" w:hanging="360"/>
      </w:pPr>
    </w:lvl>
    <w:lvl w:ilvl="2" w:tplc="040C001B" w:tentative="1">
      <w:start w:val="1"/>
      <w:numFmt w:val="lowerRoman"/>
      <w:lvlText w:val="%3."/>
      <w:lvlJc w:val="right"/>
      <w:pPr>
        <w:ind w:left="1089" w:hanging="180"/>
      </w:pPr>
    </w:lvl>
    <w:lvl w:ilvl="3" w:tplc="040C000F" w:tentative="1">
      <w:start w:val="1"/>
      <w:numFmt w:val="decimal"/>
      <w:lvlText w:val="%4."/>
      <w:lvlJc w:val="left"/>
      <w:pPr>
        <w:ind w:left="1809" w:hanging="360"/>
      </w:pPr>
    </w:lvl>
    <w:lvl w:ilvl="4" w:tplc="040C0019" w:tentative="1">
      <w:start w:val="1"/>
      <w:numFmt w:val="lowerLetter"/>
      <w:lvlText w:val="%5."/>
      <w:lvlJc w:val="left"/>
      <w:pPr>
        <w:ind w:left="2529" w:hanging="360"/>
      </w:pPr>
    </w:lvl>
    <w:lvl w:ilvl="5" w:tplc="040C001B" w:tentative="1">
      <w:start w:val="1"/>
      <w:numFmt w:val="lowerRoman"/>
      <w:lvlText w:val="%6."/>
      <w:lvlJc w:val="right"/>
      <w:pPr>
        <w:ind w:left="3249" w:hanging="180"/>
      </w:pPr>
    </w:lvl>
    <w:lvl w:ilvl="6" w:tplc="040C000F" w:tentative="1">
      <w:start w:val="1"/>
      <w:numFmt w:val="decimal"/>
      <w:lvlText w:val="%7."/>
      <w:lvlJc w:val="left"/>
      <w:pPr>
        <w:ind w:left="3969" w:hanging="360"/>
      </w:pPr>
    </w:lvl>
    <w:lvl w:ilvl="7" w:tplc="040C0019" w:tentative="1">
      <w:start w:val="1"/>
      <w:numFmt w:val="lowerLetter"/>
      <w:lvlText w:val="%8."/>
      <w:lvlJc w:val="left"/>
      <w:pPr>
        <w:ind w:left="4689" w:hanging="360"/>
      </w:pPr>
    </w:lvl>
    <w:lvl w:ilvl="8" w:tplc="040C001B" w:tentative="1">
      <w:start w:val="1"/>
      <w:numFmt w:val="lowerRoman"/>
      <w:lvlText w:val="%9."/>
      <w:lvlJc w:val="right"/>
      <w:pPr>
        <w:ind w:left="5409" w:hanging="180"/>
      </w:pPr>
    </w:lvl>
  </w:abstractNum>
  <w:abstractNum w:abstractNumId="2">
    <w:nsid w:val="17682646"/>
    <w:multiLevelType w:val="hybridMultilevel"/>
    <w:tmpl w:val="EF0A0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3E7386"/>
    <w:multiLevelType w:val="hybridMultilevel"/>
    <w:tmpl w:val="6B8EB2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C4B6F24"/>
    <w:multiLevelType w:val="hybridMultilevel"/>
    <w:tmpl w:val="FF90B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BC0"/>
    <w:rsid w:val="00014B8F"/>
    <w:rsid w:val="000666BF"/>
    <w:rsid w:val="002D3DFC"/>
    <w:rsid w:val="0031154B"/>
    <w:rsid w:val="00444A07"/>
    <w:rsid w:val="00474561"/>
    <w:rsid w:val="00707BC0"/>
    <w:rsid w:val="009D668B"/>
    <w:rsid w:val="00A423C6"/>
    <w:rsid w:val="00B04BC1"/>
    <w:rsid w:val="00C234B2"/>
    <w:rsid w:val="00C97B7E"/>
    <w:rsid w:val="00EF1DB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561"/>
    <w:rPr>
      <w:rFonts w:eastAsiaTheme="minorHAns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97B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97B7E"/>
  </w:style>
  <w:style w:type="paragraph" w:styleId="Pieddepage">
    <w:name w:val="footer"/>
    <w:basedOn w:val="Normal"/>
    <w:link w:val="PieddepageCar"/>
    <w:uiPriority w:val="99"/>
    <w:semiHidden/>
    <w:unhideWhenUsed/>
    <w:rsid w:val="00C97B7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97B7E"/>
  </w:style>
  <w:style w:type="paragraph" w:styleId="Paragraphedeliste">
    <w:name w:val="List Paragraph"/>
    <w:basedOn w:val="Normal"/>
    <w:uiPriority w:val="34"/>
    <w:qFormat/>
    <w:rsid w:val="00474561"/>
    <w:pPr>
      <w:ind w:left="720"/>
      <w:contextualSpacing/>
    </w:pPr>
  </w:style>
  <w:style w:type="paragraph" w:styleId="Notedefin">
    <w:name w:val="endnote text"/>
    <w:basedOn w:val="Normal"/>
    <w:link w:val="NotedefinCar"/>
    <w:uiPriority w:val="99"/>
    <w:semiHidden/>
    <w:unhideWhenUsed/>
    <w:rsid w:val="00474561"/>
    <w:pPr>
      <w:spacing w:after="0" w:line="240" w:lineRule="auto"/>
    </w:pPr>
    <w:rPr>
      <w:sz w:val="20"/>
      <w:szCs w:val="20"/>
    </w:rPr>
  </w:style>
  <w:style w:type="character" w:customStyle="1" w:styleId="NotedefinCar">
    <w:name w:val="Note de fin Car"/>
    <w:basedOn w:val="Policepardfaut"/>
    <w:link w:val="Notedefin"/>
    <w:uiPriority w:val="99"/>
    <w:semiHidden/>
    <w:rsid w:val="00474561"/>
    <w:rPr>
      <w:rFonts w:eastAsiaTheme="minorHAnsi"/>
      <w:sz w:val="20"/>
      <w:szCs w:val="20"/>
      <w:lang w:eastAsia="en-US"/>
    </w:rPr>
  </w:style>
  <w:style w:type="character" w:styleId="Appeldenotedefin">
    <w:name w:val="endnote reference"/>
    <w:basedOn w:val="Policepardfaut"/>
    <w:uiPriority w:val="99"/>
    <w:semiHidden/>
    <w:unhideWhenUsed/>
    <w:rsid w:val="00474561"/>
    <w:rPr>
      <w:vertAlign w:val="superscript"/>
    </w:rPr>
  </w:style>
  <w:style w:type="paragraph" w:styleId="Notedebasdepage">
    <w:name w:val="footnote text"/>
    <w:basedOn w:val="Normal"/>
    <w:link w:val="NotedebasdepageCar"/>
    <w:uiPriority w:val="99"/>
    <w:semiHidden/>
    <w:unhideWhenUsed/>
    <w:rsid w:val="0047456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74561"/>
    <w:rPr>
      <w:rFonts w:eastAsiaTheme="minorHAnsi"/>
      <w:sz w:val="20"/>
      <w:szCs w:val="20"/>
      <w:lang w:eastAsia="en-US"/>
    </w:rPr>
  </w:style>
  <w:style w:type="character" w:styleId="Appelnotedebasdep">
    <w:name w:val="footnote reference"/>
    <w:basedOn w:val="Policepardfaut"/>
    <w:uiPriority w:val="99"/>
    <w:semiHidden/>
    <w:unhideWhenUsed/>
    <w:rsid w:val="004745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S\AppData\Roaming\Microsoft\Templates\Papier%20en%20Tete%20H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11762-9A62-4E7C-9A9F-8B8C87AAA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en Tete HES</Template>
  <TotalTime>55</TotalTime>
  <Pages>2</Pages>
  <Words>337</Words>
  <Characters>1856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3</cp:revision>
  <dcterms:created xsi:type="dcterms:W3CDTF">2011-05-10T07:56:00Z</dcterms:created>
  <dcterms:modified xsi:type="dcterms:W3CDTF">2011-05-10T08:51:00Z</dcterms:modified>
</cp:coreProperties>
</file>