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2C9" w:rsidRDefault="004212C9" w:rsidP="004212C9">
      <w:pPr>
        <w:pStyle w:val="Default"/>
      </w:pPr>
      <w:proofErr w:type="spellStart"/>
      <w:r>
        <w:t>Resumen</w:t>
      </w:r>
      <w:proofErr w:type="spellEnd"/>
      <w:r>
        <w:t xml:space="preserve"> Avis du </w:t>
      </w:r>
      <w:r w:rsidR="00861956">
        <w:t>Autorité</w:t>
      </w:r>
      <w:r>
        <w:t xml:space="preserve"> de la Concurrence</w:t>
      </w:r>
    </w:p>
    <w:p w:rsidR="00CE3523" w:rsidRDefault="00CE3523" w:rsidP="004212C9">
      <w:pPr>
        <w:pStyle w:val="Default"/>
      </w:pPr>
    </w:p>
    <w:p w:rsidR="00CE3523" w:rsidRPr="00CE3523" w:rsidRDefault="00CE3523" w:rsidP="003E4E90">
      <w:pPr>
        <w:pStyle w:val="Default"/>
        <w:jc w:val="both"/>
        <w:rPr>
          <w:lang w:val="es-ES"/>
        </w:rPr>
      </w:pPr>
      <w:r w:rsidRPr="00CE3523">
        <w:rPr>
          <w:lang w:val="es-ES"/>
        </w:rPr>
        <w:t xml:space="preserve">A el consejo de la competencia le parece bien el mecanismo propuesto por la </w:t>
      </w:r>
      <w:proofErr w:type="gramStart"/>
      <w:r w:rsidRPr="00CE3523">
        <w:rPr>
          <w:lang w:val="es-ES"/>
        </w:rPr>
        <w:t>ley ;</w:t>
      </w:r>
      <w:proofErr w:type="gramEnd"/>
      <w:r w:rsidRPr="00CE3523">
        <w:rPr>
          <w:lang w:val="es-ES"/>
        </w:rPr>
        <w:t xml:space="preserve"> pero recomienda que los </w:t>
      </w:r>
      <w:proofErr w:type="spellStart"/>
      <w:r w:rsidRPr="00CE3523">
        <w:rPr>
          <w:lang w:val="es-ES"/>
        </w:rPr>
        <w:t>volumenes</w:t>
      </w:r>
      <w:proofErr w:type="spellEnd"/>
      <w:r w:rsidRPr="00CE3523">
        <w:rPr>
          <w:lang w:val="es-ES"/>
        </w:rPr>
        <w:t xml:space="preserve"> se vayan reduciendo </w:t>
      </w:r>
      <w:r>
        <w:rPr>
          <w:lang w:val="es-ES"/>
        </w:rPr>
        <w:t>a lo largo del tiempo, con el fin de efe</w:t>
      </w:r>
      <w:r w:rsidR="00861956">
        <w:rPr>
          <w:lang w:val="es-ES"/>
        </w:rPr>
        <w:t>c</w:t>
      </w:r>
      <w:r>
        <w:rPr>
          <w:lang w:val="es-ES"/>
        </w:rPr>
        <w:t>tivamente forzar la inversión en generación de los nuevos entrantes.</w:t>
      </w:r>
      <w:r w:rsidR="00886DA9">
        <w:rPr>
          <w:lang w:val="es-ES"/>
        </w:rPr>
        <w:t xml:space="preserve"> El </w:t>
      </w:r>
      <w:r w:rsidR="00861956">
        <w:rPr>
          <w:lang w:val="es-ES"/>
        </w:rPr>
        <w:t>AA</w:t>
      </w:r>
      <w:r w:rsidR="00886DA9">
        <w:rPr>
          <w:lang w:val="es-ES"/>
        </w:rPr>
        <w:t xml:space="preserve"> pide conocer el precio de ARB antes de pronunciarse sobre la ley (lo exige)</w:t>
      </w:r>
    </w:p>
    <w:p w:rsidR="004212C9" w:rsidRPr="00CE3523" w:rsidRDefault="004212C9" w:rsidP="003E4E90">
      <w:pPr>
        <w:pStyle w:val="Default"/>
        <w:jc w:val="both"/>
        <w:rPr>
          <w:lang w:val="es-ES"/>
        </w:rPr>
      </w:pPr>
    </w:p>
    <w:p w:rsidR="004212C9" w:rsidRPr="00CE3523" w:rsidRDefault="004212C9" w:rsidP="003E4E90">
      <w:pPr>
        <w:pStyle w:val="Default"/>
        <w:jc w:val="both"/>
        <w:rPr>
          <w:lang w:val="es-ES"/>
        </w:rPr>
      </w:pPr>
    </w:p>
    <w:p w:rsidR="004212C9" w:rsidRDefault="004212C9" w:rsidP="003E4E90">
      <w:pPr>
        <w:pStyle w:val="Default"/>
        <w:jc w:val="both"/>
        <w:rPr>
          <w:b/>
          <w:bCs/>
          <w:sz w:val="30"/>
          <w:szCs w:val="30"/>
        </w:rPr>
      </w:pPr>
      <w:r w:rsidRPr="00861956">
        <w:rPr>
          <w:lang w:val="es-ES"/>
        </w:rPr>
        <w:t xml:space="preserve"> </w:t>
      </w:r>
      <w:r>
        <w:rPr>
          <w:b/>
          <w:bCs/>
          <w:sz w:val="30"/>
          <w:szCs w:val="30"/>
        </w:rPr>
        <w:t>Avis n° 10-A-08 du 17 mai 2010 relatif au projet de loi portant nouvelle organisation du marché de l’électricité</w:t>
      </w:r>
    </w:p>
    <w:p w:rsidR="003E4E90" w:rsidRDefault="003E4E90" w:rsidP="003E4E90">
      <w:pPr>
        <w:pStyle w:val="Default"/>
        <w:jc w:val="both"/>
        <w:rPr>
          <w:b/>
          <w:bCs/>
          <w:sz w:val="30"/>
          <w:szCs w:val="30"/>
        </w:rPr>
      </w:pPr>
    </w:p>
    <w:p w:rsidR="003E4E90" w:rsidRDefault="003E4E90" w:rsidP="003E4E90">
      <w:pPr>
        <w:pStyle w:val="Default"/>
        <w:jc w:val="both"/>
        <w:rPr>
          <w:b/>
          <w:bCs/>
          <w:sz w:val="30"/>
          <w:szCs w:val="30"/>
        </w:rPr>
      </w:pPr>
      <w:r>
        <w:rPr>
          <w:b/>
          <w:bCs/>
          <w:sz w:val="30"/>
          <w:szCs w:val="30"/>
        </w:rPr>
        <w:t>Conclusions</w:t>
      </w:r>
    </w:p>
    <w:p w:rsidR="003E4E90" w:rsidRDefault="003E4E90" w:rsidP="003E4E90">
      <w:pPr>
        <w:pStyle w:val="Default"/>
        <w:jc w:val="both"/>
      </w:pPr>
    </w:p>
    <w:p w:rsidR="003E4E90" w:rsidRDefault="003E4E90" w:rsidP="003E4E90">
      <w:pPr>
        <w:pStyle w:val="Default"/>
        <w:spacing w:after="167"/>
        <w:jc w:val="both"/>
        <w:rPr>
          <w:sz w:val="23"/>
          <w:szCs w:val="23"/>
        </w:rPr>
      </w:pPr>
      <w:proofErr w:type="gramStart"/>
      <w:r>
        <w:rPr>
          <w:sz w:val="23"/>
          <w:szCs w:val="23"/>
        </w:rPr>
        <w:t>l’Autorité</w:t>
      </w:r>
      <w:proofErr w:type="gramEnd"/>
      <w:r>
        <w:rPr>
          <w:sz w:val="23"/>
          <w:szCs w:val="23"/>
        </w:rPr>
        <w:t xml:space="preserve"> de la concurrence avance les recommandations suivantes à propos de plusieurs points du dispositif ARB : </w:t>
      </w:r>
    </w:p>
    <w:p w:rsidR="003E4E90" w:rsidRDefault="003E4E90" w:rsidP="003E4E90">
      <w:pPr>
        <w:pStyle w:val="Default"/>
        <w:jc w:val="both"/>
        <w:rPr>
          <w:sz w:val="23"/>
          <w:szCs w:val="23"/>
        </w:rPr>
      </w:pPr>
      <w:proofErr w:type="gramStart"/>
      <w:r>
        <w:rPr>
          <w:sz w:val="23"/>
          <w:szCs w:val="23"/>
        </w:rPr>
        <w:t>concernant</w:t>
      </w:r>
      <w:proofErr w:type="gramEnd"/>
      <w:r>
        <w:rPr>
          <w:sz w:val="23"/>
          <w:szCs w:val="23"/>
        </w:rPr>
        <w:t xml:space="preserve"> le volume global d’électricité régulée accessible aux fournisseurs alternatifs, la loi devrait énoncer une réduction progressive du plafond de 120 TWh échelonnée sur la période de 15 ans. </w:t>
      </w:r>
    </w:p>
    <w:p w:rsidR="003E4E90" w:rsidRDefault="003E4E90" w:rsidP="003E4E90">
      <w:pPr>
        <w:pStyle w:val="Default"/>
        <w:jc w:val="both"/>
        <w:rPr>
          <w:sz w:val="23"/>
          <w:szCs w:val="23"/>
        </w:rPr>
      </w:pPr>
      <w:r>
        <w:rPr>
          <w:sz w:val="23"/>
          <w:szCs w:val="23"/>
        </w:rPr>
        <w:t xml:space="preserve">L’objectif pour les fournisseurs est de se préparer progressivement à l’échéance, du 31 décembre 2025, à laquelle ils ne pourront plus se procurer de l’électricité à des conditions de prix et de volumes hors marché. </w:t>
      </w:r>
    </w:p>
    <w:p w:rsidR="003E4E90" w:rsidRDefault="003E4E90" w:rsidP="003E4E90">
      <w:pPr>
        <w:pStyle w:val="Default"/>
        <w:jc w:val="both"/>
        <w:rPr>
          <w:sz w:val="23"/>
          <w:szCs w:val="23"/>
        </w:rPr>
      </w:pPr>
      <w:r>
        <w:rPr>
          <w:sz w:val="23"/>
          <w:szCs w:val="23"/>
        </w:rPr>
        <w:t xml:space="preserve">L’attribution annuelle de l’électricité régulée va donner lieu à des échanges d’informations, entre chaque fournisseur demandant l’ARB et EDF, avec un risque réel de concertation, entre les entreprises sur leurs stratégies commerciales voire leurs politiques de prix, qui serait contraire aux règles de concurrence. En particulier, la conception même du dispositif ARB, fait </w:t>
      </w:r>
      <w:proofErr w:type="gramStart"/>
      <w:r>
        <w:rPr>
          <w:sz w:val="23"/>
          <w:szCs w:val="23"/>
        </w:rPr>
        <w:t>que EDF</w:t>
      </w:r>
      <w:proofErr w:type="gramEnd"/>
      <w:r>
        <w:rPr>
          <w:sz w:val="23"/>
          <w:szCs w:val="23"/>
        </w:rPr>
        <w:t xml:space="preserve">, entreprise dominante sur le marché, aura des contacts commerciaux avec chacun de ses concurrents. </w:t>
      </w:r>
    </w:p>
    <w:p w:rsidR="003E4E90" w:rsidRDefault="003E4E90" w:rsidP="003E4E90">
      <w:pPr>
        <w:pStyle w:val="Default"/>
        <w:jc w:val="both"/>
        <w:rPr>
          <w:sz w:val="23"/>
          <w:szCs w:val="23"/>
        </w:rPr>
      </w:pPr>
    </w:p>
    <w:p w:rsidR="003E4E90" w:rsidRDefault="003E4E90" w:rsidP="003E4E90">
      <w:pPr>
        <w:pStyle w:val="Default"/>
        <w:jc w:val="both"/>
        <w:rPr>
          <w:sz w:val="23"/>
          <w:szCs w:val="23"/>
        </w:rPr>
      </w:pPr>
      <w:r>
        <w:rPr>
          <w:sz w:val="23"/>
          <w:szCs w:val="23"/>
        </w:rPr>
        <w:t xml:space="preserve">Dans ce contexte, l’Autorité recommande que les contrats ARB annuels mentionnent les informations quantitatives nécessaires à leur réalisation sous la forme la plus agrégée et la plus anonyme possible. La communication à EDF des courbes de consommation de clients ou de catégories de clients du fournisseur alternatif est à exclure. </w:t>
      </w:r>
    </w:p>
    <w:p w:rsidR="003E4E90" w:rsidRDefault="003E4E90" w:rsidP="003E4E90">
      <w:pPr>
        <w:pStyle w:val="Default"/>
        <w:jc w:val="both"/>
        <w:rPr>
          <w:sz w:val="23"/>
          <w:szCs w:val="23"/>
        </w:rPr>
      </w:pPr>
      <w:r>
        <w:rPr>
          <w:sz w:val="23"/>
          <w:szCs w:val="23"/>
        </w:rPr>
        <w:t xml:space="preserve">Les règles de calcul du prix de l’électricité régulée doivent être claires et prévisibles sur l’ensemble de la durée de l’ARB, au besoin en distinguant dès maintenant, l’existence de plusieurs périodes avec des règles de calcul différentes au sein de la durée totale de 15 ans. </w:t>
      </w:r>
    </w:p>
    <w:p w:rsidR="003E4E90" w:rsidRDefault="003E4E90" w:rsidP="003E4E90">
      <w:pPr>
        <w:pStyle w:val="Default"/>
        <w:jc w:val="both"/>
        <w:rPr>
          <w:sz w:val="23"/>
          <w:szCs w:val="23"/>
        </w:rPr>
      </w:pPr>
    </w:p>
    <w:p w:rsidR="003E4E90" w:rsidRDefault="003E4E90" w:rsidP="003E4E90">
      <w:pPr>
        <w:pStyle w:val="Default"/>
        <w:jc w:val="both"/>
        <w:rPr>
          <w:sz w:val="23"/>
          <w:szCs w:val="23"/>
        </w:rPr>
      </w:pPr>
      <w:r>
        <w:rPr>
          <w:sz w:val="23"/>
          <w:szCs w:val="23"/>
        </w:rPr>
        <w:t xml:space="preserve">Cette visibilité des règles apparaît indispensable pour des fournisseurs en phase de démarrage de leur activité, qui doivent de plus, être incités à investir dans leurs propres moyens de production afin de pouvoir concurrencer EDF avec les mêmes armes. </w:t>
      </w:r>
    </w:p>
    <w:p w:rsidR="003E4E90" w:rsidRDefault="003E4E90" w:rsidP="003E4E90">
      <w:pPr>
        <w:pStyle w:val="Default"/>
        <w:jc w:val="both"/>
        <w:rPr>
          <w:sz w:val="23"/>
          <w:szCs w:val="23"/>
        </w:rPr>
      </w:pPr>
      <w:r>
        <w:rPr>
          <w:sz w:val="23"/>
          <w:szCs w:val="23"/>
        </w:rPr>
        <w:t xml:space="preserve">Le maintien des tarifs réglementés de vente de l’électricité pour les particuliers et les petits professionnels doit s’accompagner de règles claires pour leur fixation qui assurent la prise en compte de la totalité des coûts correspondant à cette fourniture. </w:t>
      </w:r>
    </w:p>
    <w:p w:rsidR="003E4E90" w:rsidRDefault="003E4E90" w:rsidP="003E4E90">
      <w:pPr>
        <w:pStyle w:val="Default"/>
        <w:jc w:val="both"/>
        <w:rPr>
          <w:sz w:val="23"/>
          <w:szCs w:val="23"/>
        </w:rPr>
      </w:pPr>
    </w:p>
    <w:p w:rsidR="003E4E90" w:rsidRDefault="003E4E90" w:rsidP="003E4E90">
      <w:pPr>
        <w:pStyle w:val="Default"/>
        <w:jc w:val="both"/>
        <w:rPr>
          <w:sz w:val="23"/>
          <w:szCs w:val="23"/>
        </w:rPr>
      </w:pPr>
      <w:r>
        <w:rPr>
          <w:sz w:val="23"/>
          <w:szCs w:val="23"/>
        </w:rPr>
        <w:t xml:space="preserve">L’Autorité ne peut que recommander de réduire au maximum la durée de la période de transition ouverte par le projet de loi, ou à défaut de rapprocher progressivement, d’ici l’échéance du 31 décembre 2015, le niveau des tarifs réglementés des coûts supportés par leurs fournisseurs. </w:t>
      </w:r>
    </w:p>
    <w:p w:rsidR="003E4E90" w:rsidRDefault="003E4E90" w:rsidP="003E4E90">
      <w:pPr>
        <w:pStyle w:val="Default"/>
        <w:jc w:val="both"/>
        <w:rPr>
          <w:sz w:val="23"/>
          <w:szCs w:val="23"/>
        </w:rPr>
      </w:pPr>
      <w:r>
        <w:rPr>
          <w:sz w:val="23"/>
          <w:szCs w:val="23"/>
        </w:rPr>
        <w:t xml:space="preserve">Le complément de prix à payer par le fournisseur revendant l’électricité régulée pour un autre usage que la fourniture à un consommateur final est indispensable pour assurer la cohérence et l’efficacité du dispositif ARB. </w:t>
      </w:r>
    </w:p>
    <w:p w:rsidR="003E4E90" w:rsidRDefault="003E4E90" w:rsidP="003E4E90">
      <w:pPr>
        <w:pStyle w:val="Default"/>
        <w:jc w:val="both"/>
        <w:rPr>
          <w:sz w:val="23"/>
          <w:szCs w:val="23"/>
        </w:rPr>
      </w:pPr>
    </w:p>
    <w:p w:rsidR="003E4E90" w:rsidRDefault="003E4E90" w:rsidP="003E4E90">
      <w:pPr>
        <w:pStyle w:val="Default"/>
        <w:jc w:val="both"/>
        <w:rPr>
          <w:sz w:val="23"/>
          <w:szCs w:val="23"/>
        </w:rPr>
      </w:pPr>
      <w:r>
        <w:rPr>
          <w:sz w:val="23"/>
          <w:szCs w:val="23"/>
        </w:rPr>
        <w:t xml:space="preserve">Mais son fonctionnement équilibré demande que le projet de loi soit complété sur les points essentiels suivants : </w:t>
      </w:r>
    </w:p>
    <w:p w:rsidR="00861956" w:rsidRDefault="003E4E90" w:rsidP="003E4E90">
      <w:pPr>
        <w:pStyle w:val="Default"/>
        <w:spacing w:after="147"/>
        <w:ind w:left="708"/>
        <w:jc w:val="both"/>
        <w:rPr>
          <w:sz w:val="23"/>
          <w:szCs w:val="23"/>
        </w:rPr>
      </w:pPr>
      <w:r>
        <w:rPr>
          <w:sz w:val="23"/>
          <w:szCs w:val="23"/>
        </w:rPr>
        <w:t xml:space="preserve">- la périodicité du paiement du complément doit figurer dans la loi : le mois ou le trimestre constituerait une référence adaptée au vu de la saisonnalité marquée de la consommation d’électricité ; </w:t>
      </w:r>
    </w:p>
    <w:p w:rsidR="003E4E90" w:rsidRDefault="003E4E90" w:rsidP="003E4E90">
      <w:pPr>
        <w:pStyle w:val="Default"/>
        <w:spacing w:after="147"/>
        <w:ind w:left="708"/>
        <w:jc w:val="both"/>
        <w:rPr>
          <w:sz w:val="23"/>
          <w:szCs w:val="23"/>
        </w:rPr>
      </w:pPr>
      <w:r>
        <w:rPr>
          <w:sz w:val="23"/>
          <w:szCs w:val="23"/>
        </w:rPr>
        <w:lastRenderedPageBreak/>
        <w:t xml:space="preserve">- le principe d’un complément de prix majoré, en cas de demande excessive d’électricité régulée d’un opérateur par rapport à ses ventes effectives, est contestable, car il fait double emploi avec l’abus passible parallèlement d’une sanction pécuniaire prononcée par le comité des différends de la CRE ; </w:t>
      </w:r>
    </w:p>
    <w:p w:rsidR="003E4E90" w:rsidRDefault="003E4E90" w:rsidP="003E4E90">
      <w:pPr>
        <w:pStyle w:val="Default"/>
        <w:spacing w:after="147"/>
        <w:ind w:left="708"/>
        <w:jc w:val="both"/>
        <w:rPr>
          <w:sz w:val="23"/>
          <w:szCs w:val="23"/>
        </w:rPr>
      </w:pPr>
      <w:r>
        <w:rPr>
          <w:sz w:val="23"/>
          <w:szCs w:val="23"/>
        </w:rPr>
        <w:t xml:space="preserve">- surtout, ce complément de prix majoré s’exerce dans le cadre du contrat d’approvisionnement ARB conclu entre EDF et un fournisseur alternatif, or, l’exercice de la concurrence ne permet pas d’envisager qu’ EDF, opérateur dominant sur le marché, soit en mesure d’apprécier le caractère excessif de la demande d’électricité d’un de ses concurrents, de fixer la pénalité applicable et d’en encaisser le montant ; </w:t>
      </w:r>
    </w:p>
    <w:p w:rsidR="003E4E90" w:rsidRDefault="003E4E90" w:rsidP="003E4E90">
      <w:pPr>
        <w:pStyle w:val="Default"/>
        <w:ind w:left="708"/>
        <w:jc w:val="both"/>
        <w:rPr>
          <w:sz w:val="23"/>
          <w:szCs w:val="23"/>
        </w:rPr>
      </w:pPr>
      <w:r>
        <w:rPr>
          <w:sz w:val="23"/>
          <w:szCs w:val="23"/>
        </w:rPr>
        <w:t xml:space="preserve">- le renvoi, notamment sur ces aspects, à un contrat-type d’approvisionnement défini par arrêté du ministre chargé de l’énergie sur proposition de la CRE ne semble pas suffisant. </w:t>
      </w:r>
    </w:p>
    <w:p w:rsidR="003E4E90" w:rsidRDefault="003E4E90" w:rsidP="003E4E90">
      <w:pPr>
        <w:pStyle w:val="Default"/>
        <w:jc w:val="both"/>
        <w:rPr>
          <w:sz w:val="23"/>
          <w:szCs w:val="23"/>
        </w:rPr>
      </w:pPr>
    </w:p>
    <w:p w:rsidR="003E4E90" w:rsidRDefault="003E4E90" w:rsidP="003E4E90">
      <w:pPr>
        <w:pStyle w:val="Default"/>
        <w:jc w:val="both"/>
        <w:rPr>
          <w:sz w:val="23"/>
          <w:szCs w:val="23"/>
        </w:rPr>
      </w:pPr>
      <w:r>
        <w:rPr>
          <w:sz w:val="23"/>
          <w:szCs w:val="23"/>
        </w:rPr>
        <w:t xml:space="preserve">L’Autorité est d’avis que ce texte devrait relever de la procédure prévue à l’article L. 462-2 du code de commerce prévoyant sa consultation préalable obligatoire pour tout texte réglementaire imposant « </w:t>
      </w:r>
      <w:r>
        <w:rPr>
          <w:i/>
          <w:iCs/>
          <w:sz w:val="23"/>
          <w:szCs w:val="23"/>
        </w:rPr>
        <w:t xml:space="preserve">des pratiques uniformes en matière de prix ou de conditions de vente </w:t>
      </w:r>
      <w:r>
        <w:rPr>
          <w:sz w:val="23"/>
          <w:szCs w:val="23"/>
        </w:rPr>
        <w:t xml:space="preserve">». </w:t>
      </w:r>
    </w:p>
    <w:p w:rsidR="003E4E90" w:rsidRDefault="003E4E90" w:rsidP="003E4E90">
      <w:pPr>
        <w:pStyle w:val="Default"/>
        <w:jc w:val="both"/>
        <w:rPr>
          <w:sz w:val="23"/>
          <w:szCs w:val="23"/>
        </w:rPr>
      </w:pPr>
      <w:r>
        <w:rPr>
          <w:sz w:val="23"/>
          <w:szCs w:val="23"/>
        </w:rPr>
        <w:t>Enfin, l’émergence d’une concurrence réelle rend nécessaire de favoriser une incitation à l’investissement par les fournisseurs alternatifs dans les moyens de production d’électricité de pointe comme de base.</w:t>
      </w:r>
    </w:p>
    <w:p w:rsidR="003E4E90" w:rsidRDefault="003E4E90" w:rsidP="003E4E90">
      <w:pPr>
        <w:pStyle w:val="Default"/>
        <w:jc w:val="both"/>
        <w:rPr>
          <w:sz w:val="23"/>
          <w:szCs w:val="23"/>
        </w:rPr>
      </w:pPr>
      <w:r>
        <w:rPr>
          <w:sz w:val="23"/>
          <w:szCs w:val="23"/>
        </w:rPr>
        <w:t xml:space="preserve">Le mécanisme des certificats de capacités proposé va dans ce sens. Mais la complexité de la conception de ce mécanisme et de son application, qui fera appel à RTE et à la CRE, doit être soulignée. </w:t>
      </w:r>
    </w:p>
    <w:p w:rsidR="003E4E90" w:rsidRDefault="003E4E90" w:rsidP="003E4E90">
      <w:pPr>
        <w:pStyle w:val="Default"/>
        <w:jc w:val="both"/>
        <w:rPr>
          <w:b/>
          <w:bCs/>
          <w:sz w:val="30"/>
          <w:szCs w:val="30"/>
        </w:rPr>
      </w:pPr>
      <w:r>
        <w:rPr>
          <w:sz w:val="23"/>
          <w:szCs w:val="23"/>
        </w:rPr>
        <w:t>Pour cette raison et également afin d’inciter les fournisseurs alternatifs à investir dans les moyens de production de base, au vu de la durée de 15 ans retenue pour le dispositif ARB, l’Autorité réitère sa proposition de prévoir une baisse progressive et échelonnée du volume global d’électricité de base régulée fixée par le projet de loi.</w:t>
      </w:r>
    </w:p>
    <w:p w:rsidR="004212C9" w:rsidRDefault="004212C9" w:rsidP="003E4E90">
      <w:pPr>
        <w:pStyle w:val="Default"/>
        <w:jc w:val="both"/>
      </w:pPr>
    </w:p>
    <w:p w:rsidR="004212C9" w:rsidRDefault="005911D5" w:rsidP="003E4E90">
      <w:pPr>
        <w:pStyle w:val="Default"/>
        <w:jc w:val="both"/>
        <w:rPr>
          <w:b/>
        </w:rPr>
      </w:pPr>
      <w:r w:rsidRPr="005911D5">
        <w:rPr>
          <w:b/>
        </w:rPr>
        <w:t>Introduction</w:t>
      </w:r>
    </w:p>
    <w:p w:rsidR="005911D5" w:rsidRPr="005911D5" w:rsidRDefault="005911D5" w:rsidP="003E4E90">
      <w:pPr>
        <w:pStyle w:val="Default"/>
        <w:jc w:val="both"/>
        <w:rPr>
          <w:b/>
        </w:rPr>
      </w:pPr>
    </w:p>
    <w:p w:rsidR="004212C9" w:rsidRDefault="004212C9" w:rsidP="003E4E90">
      <w:pPr>
        <w:pStyle w:val="Default"/>
        <w:spacing w:after="147"/>
        <w:jc w:val="both"/>
        <w:rPr>
          <w:sz w:val="23"/>
          <w:szCs w:val="23"/>
        </w:rPr>
      </w:pPr>
      <w:proofErr w:type="gramStart"/>
      <w:r>
        <w:rPr>
          <w:sz w:val="23"/>
          <w:szCs w:val="23"/>
        </w:rPr>
        <w:t>le</w:t>
      </w:r>
      <w:proofErr w:type="gramEnd"/>
      <w:r>
        <w:rPr>
          <w:sz w:val="23"/>
          <w:szCs w:val="23"/>
        </w:rPr>
        <w:t xml:space="preserve"> Conseil à examiner les conditions de l’émergence de la concurrence dans le secteur électrique français et ont conduit aux constats suivants, encore valables aujourd’hui. </w:t>
      </w:r>
    </w:p>
    <w:p w:rsidR="004212C9" w:rsidRDefault="004212C9" w:rsidP="003E4E90">
      <w:pPr>
        <w:pStyle w:val="Default"/>
        <w:jc w:val="both"/>
        <w:rPr>
          <w:sz w:val="23"/>
          <w:szCs w:val="23"/>
        </w:rPr>
      </w:pPr>
      <w:r>
        <w:rPr>
          <w:sz w:val="23"/>
          <w:szCs w:val="23"/>
        </w:rPr>
        <w:t xml:space="preserve">18. En amont, le marché de la production est dominé par l’opérateur historique, EDF, qui contrôle la filière de production nucléaire, ainsi que 77 % des capacités hydrauliques et 58 % des autres moyens de production du parc. Or, la structure du parc a un impact immédiat sur la concurrence au niveau de la production, puisque les centrales nucléaires, appelées en permanence, couvrent près de 80 % de la consommation nationale. En outre, la filière nucléaire est naturellement associée à l’approvisionnement du marché en électricité de base, c’est-à-dire un volume d’électricité consommé en permanence pendant une période donnée, étant donné son fonctionnement et son coût marginal. Hormis les centrales hydrauliques au fil de l’eau également utilisées en base, les autres moyens de production sont utilisés pour couvrir les besoins de pointe, étant donné leur grande flexibilité de fonctionnement et leur coût marginal plus élevé. </w:t>
      </w:r>
    </w:p>
    <w:p w:rsidR="004212C9" w:rsidRDefault="004212C9" w:rsidP="003E4E90">
      <w:pPr>
        <w:pStyle w:val="Default"/>
        <w:jc w:val="both"/>
      </w:pPr>
    </w:p>
    <w:p w:rsidR="004212C9" w:rsidRDefault="004212C9" w:rsidP="003E4E90">
      <w:pPr>
        <w:pStyle w:val="Default"/>
        <w:jc w:val="both"/>
        <w:rPr>
          <w:sz w:val="23"/>
          <w:szCs w:val="23"/>
        </w:rPr>
      </w:pPr>
      <w:r>
        <w:rPr>
          <w:sz w:val="23"/>
          <w:szCs w:val="23"/>
        </w:rPr>
        <w:t xml:space="preserve">Le contrôle exercé par EDF sur l’essentiel des moyens de base ne peut pas être contesté à court ou moyen terme parce que l'entrée dans la filière nucléaire est limitée, notamment par l'existence de barrières économiques, tenant à l’importance des investissements requis et l’absence de besoin massif de renouvellement du parc à court terme, et de barrières techniques, tenant notamment au nombre limité de sites de production disponibles. </w:t>
      </w:r>
    </w:p>
    <w:p w:rsidR="004212C9" w:rsidRDefault="004212C9" w:rsidP="003E4E90">
      <w:pPr>
        <w:pStyle w:val="Default"/>
        <w:jc w:val="both"/>
      </w:pPr>
    </w:p>
    <w:p w:rsidR="004212C9" w:rsidRDefault="004212C9" w:rsidP="003E4E90">
      <w:pPr>
        <w:pStyle w:val="Default"/>
        <w:spacing w:after="147"/>
        <w:jc w:val="both"/>
        <w:rPr>
          <w:sz w:val="23"/>
          <w:szCs w:val="23"/>
        </w:rPr>
      </w:pPr>
      <w:r>
        <w:rPr>
          <w:sz w:val="23"/>
          <w:szCs w:val="23"/>
        </w:rPr>
        <w:t xml:space="preserve">La concentration des centrales nucléaires dans les mains de l’opérateur historique confère donc à EDF un avantage de coûts vis-à-vis de concurrents, qui ne disposent pas de ces moyens de production. </w:t>
      </w:r>
    </w:p>
    <w:p w:rsidR="004212C9" w:rsidRDefault="004212C9" w:rsidP="003E4E90">
      <w:pPr>
        <w:pStyle w:val="Default"/>
        <w:jc w:val="both"/>
        <w:rPr>
          <w:sz w:val="23"/>
          <w:szCs w:val="23"/>
        </w:rPr>
      </w:pPr>
      <w:r>
        <w:rPr>
          <w:sz w:val="23"/>
          <w:szCs w:val="23"/>
        </w:rPr>
        <w:t xml:space="preserve">21. Cet avantage a un effet significatif sur les prix de vente au détail, car la partie production de l’énergie représente environ la moitié du prix total hors taxe facturé au consommateur final d’électricité. Or, les concurrents d’EDF, qui ne peuvent pas couvrir leurs besoins d’électricité de base au moyen de leur propre parc de production, doivent s’approvisionner sur le marché de gros. Ils subissent donc les écarts parfois considérables observés entre le coût de production nucléaire et les niveaux de prix constatés sur le marché de gros. </w:t>
      </w:r>
    </w:p>
    <w:p w:rsidR="004212C9" w:rsidRDefault="004212C9" w:rsidP="003E4E90">
      <w:pPr>
        <w:pStyle w:val="Default"/>
        <w:jc w:val="both"/>
        <w:rPr>
          <w:sz w:val="23"/>
          <w:szCs w:val="23"/>
        </w:rPr>
      </w:pPr>
    </w:p>
    <w:p w:rsidR="004212C9" w:rsidRDefault="004212C9" w:rsidP="003E4E90">
      <w:pPr>
        <w:pStyle w:val="Default"/>
        <w:spacing w:after="148"/>
        <w:jc w:val="both"/>
        <w:rPr>
          <w:sz w:val="23"/>
          <w:szCs w:val="23"/>
        </w:rPr>
      </w:pPr>
      <w:r>
        <w:rPr>
          <w:sz w:val="23"/>
          <w:szCs w:val="23"/>
        </w:rPr>
        <w:t xml:space="preserve">Le Conseil a en effet favorisé les engagements sur le long terme proposés par EDF, visant à mettre en place un approvisionnement en électricité de base ouvert aux fournisseurs actifs sur le marché libre de la vente au détail aux petits consommateurs. </w:t>
      </w:r>
    </w:p>
    <w:p w:rsidR="004212C9" w:rsidRDefault="004212C9" w:rsidP="003E4E90">
      <w:pPr>
        <w:pStyle w:val="Default"/>
        <w:jc w:val="both"/>
        <w:rPr>
          <w:sz w:val="23"/>
          <w:szCs w:val="23"/>
        </w:rPr>
      </w:pPr>
      <w:r>
        <w:rPr>
          <w:sz w:val="23"/>
          <w:szCs w:val="23"/>
        </w:rPr>
        <w:t xml:space="preserve">27. Ces engagements ont été élaborés de manière à donner aux nouveaux fournisseurs un approvisionnement en électricité de base, à un prix évitant tout effet de ciseau par rapport aux offres d’EDF sur le marché libre. Par ailleurs, l’accès à ce mode d’approvisionnement s’effectue par le biais de contrats de long terme cédés dans le cadre de trois enchères, qui ont été organisées en 2008 et 2009 et la totalité des volumes proposés ont trouvé acquéreurs </w:t>
      </w:r>
    </w:p>
    <w:p w:rsidR="005911D5" w:rsidRDefault="005911D5" w:rsidP="003E4E90">
      <w:pPr>
        <w:pStyle w:val="Default"/>
        <w:jc w:val="both"/>
        <w:rPr>
          <w:sz w:val="23"/>
          <w:szCs w:val="23"/>
        </w:rPr>
      </w:pPr>
    </w:p>
    <w:p w:rsidR="004212C9" w:rsidRDefault="004212C9" w:rsidP="003E4E90">
      <w:pPr>
        <w:pStyle w:val="Default"/>
        <w:jc w:val="both"/>
        <w:rPr>
          <w:sz w:val="23"/>
          <w:szCs w:val="23"/>
        </w:rPr>
      </w:pPr>
      <w:r>
        <w:rPr>
          <w:sz w:val="23"/>
          <w:szCs w:val="23"/>
        </w:rPr>
        <w:t xml:space="preserve">Il convient toutefois de rappeler que les engagements rendus obligatoires par le Conseil de la concurrence dans sa décision n° 07-D-43 visaient à résoudre une pratique de ciseau tarifaire observée sur le marché libre, et non vis-à-vis des tarifs réglementés. En effet, seul un comportement adopté de manière libre et autonome par une entreprise est susceptible de constituer une pratique anticoncurrentielle imputable à celle-ci. A l’inverse, lorsque le comportement d’une entreprise lui est imposé par les pouvoirs publics, sans aucune marge de </w:t>
      </w:r>
      <w:proofErr w:type="spellStart"/>
      <w:r>
        <w:rPr>
          <w:sz w:val="23"/>
          <w:szCs w:val="23"/>
        </w:rPr>
        <w:t>manoeuvre</w:t>
      </w:r>
      <w:proofErr w:type="spellEnd"/>
      <w:r>
        <w:rPr>
          <w:sz w:val="23"/>
          <w:szCs w:val="23"/>
        </w:rPr>
        <w:t xml:space="preserve">, il n’est pas possible d’imputer à cette entreprise les effets sur la concurrence susceptibles d’en découler. Tel est le cas avec la réglementation des tarifs de vente de l’électricité. Il n’appartenait donc pas au Conseil de la concurrence de remédier aux difficultés éprouvées par les nouveaux fournisseurs pour concurrencer les tarifs réglementés. </w:t>
      </w:r>
    </w:p>
    <w:p w:rsidR="004212C9" w:rsidRDefault="004212C9" w:rsidP="003E4E90">
      <w:pPr>
        <w:pStyle w:val="Default"/>
        <w:jc w:val="both"/>
      </w:pPr>
    </w:p>
    <w:p w:rsidR="004212C9" w:rsidRDefault="004212C9" w:rsidP="003E4E90">
      <w:pPr>
        <w:pStyle w:val="Default"/>
        <w:jc w:val="both"/>
        <w:rPr>
          <w:sz w:val="23"/>
          <w:szCs w:val="23"/>
        </w:rPr>
      </w:pPr>
      <w:r>
        <w:rPr>
          <w:sz w:val="23"/>
          <w:szCs w:val="23"/>
        </w:rPr>
        <w:t xml:space="preserve">34. Le rapport (Champsaur) recommande donc l’instauration d’un dispositif de régulation axé autour des cinq éléments suivants : </w:t>
      </w:r>
    </w:p>
    <w:p w:rsidR="004212C9" w:rsidRDefault="004212C9" w:rsidP="003E4E90">
      <w:pPr>
        <w:pStyle w:val="Default"/>
        <w:spacing w:after="147"/>
        <w:ind w:left="708"/>
        <w:jc w:val="both"/>
        <w:rPr>
          <w:sz w:val="23"/>
          <w:szCs w:val="23"/>
        </w:rPr>
      </w:pPr>
      <w:r>
        <w:rPr>
          <w:sz w:val="23"/>
          <w:szCs w:val="23"/>
        </w:rPr>
        <w:t xml:space="preserve">- l’instauration de droits de tirage sur le parc nucléaire à un prix régulé reflétant </w:t>
      </w:r>
      <w:r>
        <w:rPr>
          <w:i/>
          <w:iCs/>
          <w:sz w:val="23"/>
          <w:szCs w:val="23"/>
        </w:rPr>
        <w:t xml:space="preserve">« la réalité des coûts complets du parc historique de production nucléaire français » </w:t>
      </w:r>
      <w:r>
        <w:rPr>
          <w:sz w:val="23"/>
          <w:szCs w:val="23"/>
        </w:rPr>
        <w:t xml:space="preserve">; </w:t>
      </w:r>
    </w:p>
    <w:p w:rsidR="004212C9" w:rsidRDefault="004212C9" w:rsidP="003E4E90">
      <w:pPr>
        <w:pStyle w:val="Default"/>
        <w:ind w:left="708"/>
        <w:jc w:val="both"/>
        <w:rPr>
          <w:sz w:val="23"/>
          <w:szCs w:val="23"/>
        </w:rPr>
      </w:pPr>
      <w:r>
        <w:rPr>
          <w:sz w:val="23"/>
          <w:szCs w:val="23"/>
        </w:rPr>
        <w:t xml:space="preserve">- la mise en place de mesures d’incitations à l’investissement dans la production ; </w:t>
      </w:r>
    </w:p>
    <w:p w:rsidR="00CE3523" w:rsidRDefault="00CE3523" w:rsidP="003E4E90">
      <w:pPr>
        <w:pStyle w:val="Default"/>
        <w:ind w:left="708"/>
        <w:jc w:val="both"/>
        <w:rPr>
          <w:sz w:val="23"/>
          <w:szCs w:val="23"/>
        </w:rPr>
      </w:pPr>
    </w:p>
    <w:p w:rsidR="00CE3523" w:rsidRDefault="00CE3523" w:rsidP="003E4E90">
      <w:pPr>
        <w:pStyle w:val="Default"/>
        <w:spacing w:after="148"/>
        <w:ind w:left="708"/>
        <w:jc w:val="both"/>
        <w:rPr>
          <w:sz w:val="23"/>
          <w:szCs w:val="23"/>
        </w:rPr>
      </w:pPr>
      <w:r>
        <w:rPr>
          <w:sz w:val="23"/>
          <w:szCs w:val="23"/>
        </w:rPr>
        <w:t xml:space="preserve">- la disparition des tarifs réglementés pour les consommateurs industriels ; </w:t>
      </w:r>
    </w:p>
    <w:p w:rsidR="00CE3523" w:rsidRDefault="00CE3523" w:rsidP="003E4E90">
      <w:pPr>
        <w:pStyle w:val="Default"/>
        <w:spacing w:after="148"/>
        <w:ind w:left="708"/>
        <w:jc w:val="both"/>
        <w:rPr>
          <w:sz w:val="23"/>
          <w:szCs w:val="23"/>
        </w:rPr>
      </w:pPr>
      <w:r>
        <w:rPr>
          <w:sz w:val="23"/>
          <w:szCs w:val="23"/>
        </w:rPr>
        <w:t xml:space="preserve">- le maintien des tarifs réglementés pour les petits consommateurs, avec une modification des règles de fixation de ces tarifs, dont la partie répercutant les coûts de production devrait être </w:t>
      </w:r>
      <w:r>
        <w:rPr>
          <w:i/>
          <w:iCs/>
          <w:sz w:val="23"/>
          <w:szCs w:val="23"/>
        </w:rPr>
        <w:t xml:space="preserve">« construit[e] par addition d’un prix reflétant les coûts de production de l’électricité en base aux conditions économiques du parc historique [et] les prix de marché pour le reste de l’approvisionnement » </w:t>
      </w:r>
      <w:r>
        <w:rPr>
          <w:sz w:val="23"/>
          <w:szCs w:val="23"/>
        </w:rPr>
        <w:t xml:space="preserve">; </w:t>
      </w:r>
    </w:p>
    <w:p w:rsidR="004212C9" w:rsidRDefault="00CE3523" w:rsidP="003E4E90">
      <w:pPr>
        <w:pStyle w:val="Default"/>
        <w:ind w:left="708"/>
        <w:jc w:val="both"/>
        <w:rPr>
          <w:sz w:val="23"/>
          <w:szCs w:val="23"/>
        </w:rPr>
      </w:pPr>
      <w:r>
        <w:rPr>
          <w:sz w:val="23"/>
          <w:szCs w:val="23"/>
        </w:rPr>
        <w:t>- l’instauration d’un principe de réversibilité totale entre tarifs réglementés et prix de marché.</w:t>
      </w:r>
      <w:r w:rsidR="004212C9">
        <w:rPr>
          <w:sz w:val="23"/>
          <w:szCs w:val="23"/>
        </w:rPr>
        <w:t xml:space="preserve">8 </w:t>
      </w:r>
    </w:p>
    <w:p w:rsidR="004212C9" w:rsidRPr="005911D5" w:rsidRDefault="004212C9" w:rsidP="003E4E90">
      <w:pPr>
        <w:pStyle w:val="Default"/>
        <w:jc w:val="both"/>
        <w:rPr>
          <w:b/>
          <w:sz w:val="23"/>
          <w:szCs w:val="23"/>
        </w:rPr>
      </w:pPr>
    </w:p>
    <w:p w:rsidR="004212C9" w:rsidRPr="005911D5" w:rsidRDefault="005911D5" w:rsidP="003E4E90">
      <w:pPr>
        <w:pStyle w:val="Default"/>
        <w:jc w:val="both"/>
        <w:rPr>
          <w:b/>
        </w:rPr>
      </w:pPr>
      <w:r w:rsidRPr="005911D5">
        <w:rPr>
          <w:b/>
        </w:rPr>
        <w:t>Objectif</w:t>
      </w:r>
      <w:r>
        <w:rPr>
          <w:b/>
        </w:rPr>
        <w:t>s</w:t>
      </w:r>
      <w:r w:rsidRPr="005911D5">
        <w:rPr>
          <w:b/>
        </w:rPr>
        <w:t xml:space="preserve"> de la Loi</w:t>
      </w:r>
    </w:p>
    <w:p w:rsidR="005911D5" w:rsidRDefault="005911D5" w:rsidP="003E4E90">
      <w:pPr>
        <w:pStyle w:val="Default"/>
        <w:jc w:val="both"/>
      </w:pPr>
    </w:p>
    <w:p w:rsidR="004212C9" w:rsidRDefault="004212C9" w:rsidP="003E4E90">
      <w:pPr>
        <w:pStyle w:val="Default"/>
        <w:spacing w:after="167"/>
        <w:jc w:val="both"/>
        <w:rPr>
          <w:sz w:val="23"/>
          <w:szCs w:val="23"/>
        </w:rPr>
      </w:pPr>
      <w:r>
        <w:rPr>
          <w:sz w:val="23"/>
          <w:szCs w:val="23"/>
        </w:rPr>
        <w:t xml:space="preserve">La réforme envisagée par le Gouvernement poursuit ainsi trois principaux objectifs, à savoir : </w:t>
      </w:r>
    </w:p>
    <w:p w:rsidR="004212C9" w:rsidRDefault="004212C9" w:rsidP="003E4E90">
      <w:pPr>
        <w:pStyle w:val="Default"/>
        <w:numPr>
          <w:ilvl w:val="0"/>
          <w:numId w:val="2"/>
        </w:numPr>
        <w:spacing w:after="167"/>
        <w:jc w:val="both"/>
        <w:rPr>
          <w:sz w:val="23"/>
          <w:szCs w:val="23"/>
        </w:rPr>
      </w:pPr>
      <w:r>
        <w:rPr>
          <w:sz w:val="23"/>
          <w:szCs w:val="23"/>
        </w:rPr>
        <w:t xml:space="preserve">préserver les tarifs réglementés de vente de l’électricité (dénommés « tarifs bleus ») pour les ménages et les petites entreprises ; </w:t>
      </w:r>
    </w:p>
    <w:p w:rsidR="004212C9" w:rsidRDefault="004212C9" w:rsidP="003E4E90">
      <w:pPr>
        <w:pStyle w:val="Default"/>
        <w:numPr>
          <w:ilvl w:val="0"/>
          <w:numId w:val="2"/>
        </w:numPr>
        <w:spacing w:after="167"/>
        <w:jc w:val="both"/>
        <w:rPr>
          <w:sz w:val="23"/>
          <w:szCs w:val="23"/>
        </w:rPr>
      </w:pPr>
      <w:r>
        <w:rPr>
          <w:sz w:val="23"/>
          <w:szCs w:val="23"/>
        </w:rPr>
        <w:t xml:space="preserve">assurer le financement du parc de production existant et favoriser les nouveaux investissements conformément aux engagements pris lors des négociations « Grenelle » sur l’environnement ; </w:t>
      </w:r>
    </w:p>
    <w:p w:rsidR="004212C9" w:rsidRDefault="004212C9" w:rsidP="003E4E90">
      <w:pPr>
        <w:pStyle w:val="Default"/>
        <w:numPr>
          <w:ilvl w:val="0"/>
          <w:numId w:val="2"/>
        </w:numPr>
        <w:jc w:val="both"/>
        <w:rPr>
          <w:sz w:val="23"/>
          <w:szCs w:val="23"/>
        </w:rPr>
      </w:pPr>
      <w:r>
        <w:rPr>
          <w:sz w:val="23"/>
          <w:szCs w:val="23"/>
        </w:rPr>
        <w:t xml:space="preserve">favoriser la concurrence par un dispositif de régulation qui permettra à tous les fournisseurs d’électricité en France de s'approvisionner auprès d'EDF aux conditions économiques du parc nucléaire historique. La dynamique du marché en résultant permettra la disparition des tarifs réglementés pour les grands clients en 2015, et la concurrence fera émerger des offres innovantes, en particulier en ce qui concerne l'amélioration de la gestion de la demande d'électricité. </w:t>
      </w:r>
    </w:p>
    <w:p w:rsidR="00141239" w:rsidRDefault="00141239" w:rsidP="003E4E90">
      <w:pPr>
        <w:pStyle w:val="Default"/>
        <w:jc w:val="both"/>
      </w:pPr>
    </w:p>
    <w:p w:rsidR="00141239" w:rsidRDefault="00141239" w:rsidP="003E4E90">
      <w:pPr>
        <w:pStyle w:val="Default"/>
        <w:jc w:val="both"/>
        <w:rPr>
          <w:sz w:val="23"/>
          <w:szCs w:val="23"/>
        </w:rPr>
      </w:pPr>
      <w:r>
        <w:rPr>
          <w:sz w:val="23"/>
          <w:szCs w:val="23"/>
        </w:rPr>
        <w:t xml:space="preserve">Pour atteindre ces objectifs, le moyen choisi est l’instauration d’un droit d’accès pour les fournisseurs alternatifs à l’électricité d’origine nucléaire produite par EDF, avec un prix de cette électricité fixé par l’État. Le dispositif ainsi créé est dénommé « </w:t>
      </w:r>
      <w:r>
        <w:rPr>
          <w:i/>
          <w:iCs/>
          <w:sz w:val="23"/>
          <w:szCs w:val="23"/>
        </w:rPr>
        <w:t xml:space="preserve">accès régulé à la base </w:t>
      </w:r>
      <w:r>
        <w:rPr>
          <w:sz w:val="23"/>
          <w:szCs w:val="23"/>
        </w:rPr>
        <w:t xml:space="preserve">» ou ARB. </w:t>
      </w:r>
    </w:p>
    <w:p w:rsidR="00141239" w:rsidRDefault="00141239" w:rsidP="003E4E90">
      <w:pPr>
        <w:pStyle w:val="Default"/>
        <w:jc w:val="both"/>
        <w:rPr>
          <w:sz w:val="23"/>
          <w:szCs w:val="23"/>
        </w:rPr>
      </w:pPr>
    </w:p>
    <w:p w:rsidR="00141239" w:rsidRPr="005911D5" w:rsidRDefault="005911D5" w:rsidP="003E4E90">
      <w:pPr>
        <w:pStyle w:val="Default"/>
        <w:jc w:val="both"/>
        <w:rPr>
          <w:b/>
        </w:rPr>
      </w:pPr>
      <w:proofErr w:type="spellStart"/>
      <w:r w:rsidRPr="005911D5">
        <w:rPr>
          <w:b/>
        </w:rPr>
        <w:t>Volumen</w:t>
      </w:r>
      <w:proofErr w:type="spellEnd"/>
      <w:r w:rsidRPr="005911D5">
        <w:rPr>
          <w:b/>
        </w:rPr>
        <w:t xml:space="preserve"> </w:t>
      </w:r>
      <w:proofErr w:type="gramStart"/>
      <w:r w:rsidRPr="005911D5">
        <w:rPr>
          <w:b/>
        </w:rPr>
        <w:t>du ARB</w:t>
      </w:r>
      <w:proofErr w:type="gramEnd"/>
    </w:p>
    <w:p w:rsidR="005911D5" w:rsidRPr="005911D5" w:rsidRDefault="005911D5" w:rsidP="003E4E90">
      <w:pPr>
        <w:pStyle w:val="Default"/>
        <w:jc w:val="both"/>
        <w:rPr>
          <w:b/>
        </w:rPr>
      </w:pPr>
    </w:p>
    <w:p w:rsidR="00141239" w:rsidRDefault="00141239" w:rsidP="003E4E90">
      <w:pPr>
        <w:pStyle w:val="Default"/>
        <w:jc w:val="both"/>
        <w:rPr>
          <w:sz w:val="23"/>
          <w:szCs w:val="23"/>
        </w:rPr>
      </w:pPr>
      <w:r>
        <w:rPr>
          <w:sz w:val="23"/>
          <w:szCs w:val="23"/>
        </w:rPr>
        <w:t>L’article 1</w:t>
      </w:r>
      <w:r>
        <w:rPr>
          <w:sz w:val="16"/>
          <w:szCs w:val="16"/>
        </w:rPr>
        <w:t xml:space="preserve">er </w:t>
      </w:r>
      <w:r>
        <w:rPr>
          <w:sz w:val="23"/>
          <w:szCs w:val="23"/>
        </w:rPr>
        <w:t>du projet de loi prévoit que pendant la période de régulation de 15 ans, le volume global d’électricité régulée ne pourra pas dépasser 100 TWh par an, puis 120 TWh par an à partir du 1</w:t>
      </w:r>
      <w:r>
        <w:rPr>
          <w:sz w:val="16"/>
          <w:szCs w:val="16"/>
        </w:rPr>
        <w:t xml:space="preserve">er </w:t>
      </w:r>
      <w:r>
        <w:rPr>
          <w:sz w:val="23"/>
          <w:szCs w:val="23"/>
        </w:rPr>
        <w:t xml:space="preserve">août 2016, avec la prise en compte partielle dans les usages de l’ARB des ventes aux réseaux publics destinées à compenser leurs pertes en ligne. </w:t>
      </w:r>
    </w:p>
    <w:p w:rsidR="00141239" w:rsidRDefault="00141239" w:rsidP="003E4E90">
      <w:pPr>
        <w:pStyle w:val="Default"/>
        <w:jc w:val="both"/>
      </w:pPr>
    </w:p>
    <w:p w:rsidR="00141239" w:rsidRDefault="00141239" w:rsidP="003E4E90">
      <w:pPr>
        <w:pStyle w:val="Default"/>
        <w:spacing w:after="167"/>
        <w:jc w:val="both"/>
        <w:rPr>
          <w:sz w:val="23"/>
          <w:szCs w:val="23"/>
        </w:rPr>
      </w:pPr>
      <w:r>
        <w:rPr>
          <w:sz w:val="23"/>
          <w:szCs w:val="23"/>
        </w:rPr>
        <w:t xml:space="preserve">Indépendamment de la valeur choisie par la loi pour le volume global maximal d’électricité de base régulée, la seule existence de ce plafond emporte trois conséquences pour le fonctionnement concurrentiel du marché de l’électricité : </w:t>
      </w:r>
    </w:p>
    <w:p w:rsidR="00141239" w:rsidRDefault="00141239" w:rsidP="003E4E90">
      <w:pPr>
        <w:pStyle w:val="Default"/>
        <w:numPr>
          <w:ilvl w:val="0"/>
          <w:numId w:val="1"/>
        </w:numPr>
        <w:spacing w:after="167"/>
        <w:jc w:val="both"/>
        <w:rPr>
          <w:sz w:val="23"/>
          <w:szCs w:val="23"/>
        </w:rPr>
      </w:pPr>
      <w:r>
        <w:rPr>
          <w:sz w:val="23"/>
          <w:szCs w:val="23"/>
        </w:rPr>
        <w:t xml:space="preserve">le plafond fixé pour la quantité d’électricité régulée accessible aux fournisseurs alternatifs détermine aussi la part de la production nationale totale d’électricité qui ne sera pas soumise au jeu du marché pendant la durée de 15 ans de la période de régulation. </w:t>
      </w:r>
    </w:p>
    <w:p w:rsidR="00141239" w:rsidRDefault="00141239" w:rsidP="003E4E90">
      <w:pPr>
        <w:pStyle w:val="Default"/>
        <w:numPr>
          <w:ilvl w:val="0"/>
          <w:numId w:val="1"/>
        </w:numPr>
        <w:jc w:val="both"/>
        <w:rPr>
          <w:sz w:val="23"/>
          <w:szCs w:val="23"/>
        </w:rPr>
      </w:pPr>
      <w:r>
        <w:rPr>
          <w:sz w:val="23"/>
          <w:szCs w:val="23"/>
        </w:rPr>
        <w:t>la concurrence entre les fournisseurs d’électricité au stade de la production ne pourra donc s’exercer que sur la production hors ARB ;</w:t>
      </w:r>
    </w:p>
    <w:p w:rsidR="00141239" w:rsidRDefault="00141239" w:rsidP="003E4E90">
      <w:pPr>
        <w:pStyle w:val="Default"/>
        <w:jc w:val="both"/>
      </w:pPr>
    </w:p>
    <w:p w:rsidR="00141239" w:rsidRDefault="00141239" w:rsidP="003E4E90">
      <w:pPr>
        <w:pStyle w:val="Default"/>
        <w:numPr>
          <w:ilvl w:val="0"/>
          <w:numId w:val="1"/>
        </w:numPr>
        <w:jc w:val="both"/>
        <w:rPr>
          <w:sz w:val="23"/>
          <w:szCs w:val="23"/>
        </w:rPr>
      </w:pPr>
      <w:r>
        <w:rPr>
          <w:sz w:val="23"/>
          <w:szCs w:val="23"/>
        </w:rPr>
        <w:t xml:space="preserve">l’affichage du volume maximal d’électricité régulée accessible aux fournisseurs alternatifs, dès maintenant et pour toute la durée de la période de régulation, est également </w:t>
      </w:r>
      <w:proofErr w:type="gramStart"/>
      <w:r>
        <w:rPr>
          <w:sz w:val="23"/>
          <w:szCs w:val="23"/>
        </w:rPr>
        <w:t>important</w:t>
      </w:r>
      <w:proofErr w:type="gramEnd"/>
      <w:r>
        <w:rPr>
          <w:sz w:val="23"/>
          <w:szCs w:val="23"/>
        </w:rPr>
        <w:t xml:space="preserve"> pour l’exercice de la concurrence sur le marché. </w:t>
      </w:r>
    </w:p>
    <w:p w:rsidR="005911D5" w:rsidRDefault="005911D5" w:rsidP="003E4E90">
      <w:pPr>
        <w:pStyle w:val="Default"/>
        <w:jc w:val="both"/>
        <w:rPr>
          <w:sz w:val="23"/>
          <w:szCs w:val="23"/>
        </w:rPr>
      </w:pPr>
    </w:p>
    <w:p w:rsidR="00141239" w:rsidRDefault="00141239" w:rsidP="003E4E90">
      <w:pPr>
        <w:pStyle w:val="Default"/>
        <w:jc w:val="both"/>
        <w:rPr>
          <w:sz w:val="23"/>
          <w:szCs w:val="23"/>
        </w:rPr>
      </w:pPr>
      <w:r>
        <w:rPr>
          <w:sz w:val="23"/>
          <w:szCs w:val="23"/>
        </w:rPr>
        <w:t xml:space="preserve">Enfin, le dispositif ARB a une vocation transitoire qui est clairement affirmée par le projet de loi. Il s’analyse comme une aide au démarrage de l’activité des fournisseurs alternatifs pour leur permettre à terme de concurrencer EDF avec succès. Les restrictions importantes apportées au fonctionnement normal d’un marché concurrentiel n’ont ainsi de sens que si une amélioration véritable de la situation de la concurrence sur le marché de l’électricité est obtenue au terme de la période de régulation de 15 ans. </w:t>
      </w:r>
    </w:p>
    <w:p w:rsidR="00141239" w:rsidRDefault="00141239" w:rsidP="003E4E90">
      <w:pPr>
        <w:pStyle w:val="Default"/>
        <w:jc w:val="both"/>
      </w:pPr>
    </w:p>
    <w:p w:rsidR="00141239" w:rsidRPr="00141239" w:rsidRDefault="00141239" w:rsidP="003E4E90">
      <w:pPr>
        <w:pStyle w:val="Default"/>
        <w:jc w:val="both"/>
        <w:rPr>
          <w:b/>
          <w:sz w:val="23"/>
          <w:szCs w:val="23"/>
        </w:rPr>
      </w:pPr>
      <w:r w:rsidRPr="00141239">
        <w:rPr>
          <w:b/>
          <w:sz w:val="23"/>
          <w:szCs w:val="23"/>
        </w:rPr>
        <w:t xml:space="preserve">L’Autorité recommande donc de prévoir, dès maintenant, dans la loi une diminution progressive du plafond fixé pour le volume maximal d’électricité régulée, qui serait échelonnée sur la période de 15 ans. </w:t>
      </w:r>
    </w:p>
    <w:p w:rsidR="00141239" w:rsidRPr="00141239" w:rsidRDefault="00141239" w:rsidP="003E4E90">
      <w:pPr>
        <w:pStyle w:val="Default"/>
        <w:jc w:val="both"/>
        <w:rPr>
          <w:b/>
          <w:sz w:val="23"/>
          <w:szCs w:val="23"/>
        </w:rPr>
      </w:pPr>
    </w:p>
    <w:p w:rsidR="00901AF0" w:rsidRPr="00901AF0" w:rsidRDefault="00901AF0" w:rsidP="003E4E90">
      <w:pPr>
        <w:pStyle w:val="Default"/>
        <w:jc w:val="both"/>
        <w:rPr>
          <w:b/>
          <w:sz w:val="23"/>
          <w:szCs w:val="23"/>
        </w:rPr>
      </w:pPr>
      <w:r w:rsidRPr="00901AF0">
        <w:rPr>
          <w:b/>
          <w:sz w:val="23"/>
          <w:szCs w:val="23"/>
        </w:rPr>
        <w:t xml:space="preserve">Allocation </w:t>
      </w:r>
      <w:proofErr w:type="gramStart"/>
      <w:r w:rsidRPr="00901AF0">
        <w:rPr>
          <w:b/>
          <w:sz w:val="23"/>
          <w:szCs w:val="23"/>
        </w:rPr>
        <w:t>du ABR</w:t>
      </w:r>
      <w:proofErr w:type="gramEnd"/>
      <w:r w:rsidRPr="00901AF0">
        <w:rPr>
          <w:b/>
          <w:sz w:val="23"/>
          <w:szCs w:val="23"/>
        </w:rPr>
        <w:t xml:space="preserve"> en segments de clientes</w:t>
      </w:r>
    </w:p>
    <w:p w:rsidR="00E97FC8" w:rsidRDefault="00141239" w:rsidP="003E4E90">
      <w:pPr>
        <w:pStyle w:val="Default"/>
        <w:jc w:val="both"/>
      </w:pPr>
      <w:r>
        <w:rPr>
          <w:sz w:val="23"/>
          <w:szCs w:val="23"/>
        </w:rPr>
        <w:t xml:space="preserve"> </w:t>
      </w:r>
    </w:p>
    <w:p w:rsidR="00E97FC8" w:rsidRDefault="00E97FC8" w:rsidP="003E4E90">
      <w:pPr>
        <w:pStyle w:val="Default"/>
        <w:jc w:val="both"/>
        <w:rPr>
          <w:sz w:val="23"/>
          <w:szCs w:val="23"/>
        </w:rPr>
      </w:pPr>
      <w:r>
        <w:rPr>
          <w:sz w:val="23"/>
          <w:szCs w:val="23"/>
        </w:rPr>
        <w:t xml:space="preserve">La majorité des clients achète son électricité auprès d’un fournisseur pour couvrir la totalité de ses besoins, sans différencier sa consommation de base et celle de pointe, hormis quelques gros consommateurs industriels. L’accès régulé à l’électricité de base demande donc parallèlement aux fournisseurs alternatifs de disposer d’électricité de pointe pour servir leurs clients, en ayant leurs propres capacités de production ou en l’achetant sur le marché de gros. Cette électricité de pointe est produite ou achetée aux conditions de marché. </w:t>
      </w:r>
    </w:p>
    <w:p w:rsidR="00141239" w:rsidRDefault="00141239" w:rsidP="003E4E90">
      <w:pPr>
        <w:pStyle w:val="Default"/>
        <w:jc w:val="both"/>
        <w:rPr>
          <w:sz w:val="23"/>
          <w:szCs w:val="23"/>
        </w:rPr>
      </w:pPr>
    </w:p>
    <w:p w:rsidR="00E97FC8" w:rsidRDefault="00E97FC8" w:rsidP="003E4E90">
      <w:pPr>
        <w:pStyle w:val="Default"/>
        <w:spacing w:after="147"/>
        <w:jc w:val="both"/>
        <w:rPr>
          <w:sz w:val="23"/>
          <w:szCs w:val="23"/>
        </w:rPr>
      </w:pPr>
      <w:r>
        <w:rPr>
          <w:sz w:val="23"/>
          <w:szCs w:val="23"/>
        </w:rPr>
        <w:t xml:space="preserve">Ce problème de la répartition du volume d’électricité régulée entre les différentes clientèles est aussi la contrepartie du choix par le projet de loi d’un accès égal et gratuit de tous les fournisseurs intéressés à cette ressource. A l’inverse, le recours à un mécanisme d’enchères entre fournisseurs pour accéder à l’électricité régulée aurait fait émerger des priorités, quant aux usages donnés à la ressource ARB. Lors des enchères, chaque fournisseur aurait proposé son prix en fonction de la valorisation escomptée auprès des clients qu’il a choisi de démarcher. </w:t>
      </w:r>
    </w:p>
    <w:p w:rsidR="00E97FC8" w:rsidRDefault="00E97FC8" w:rsidP="003E4E90">
      <w:pPr>
        <w:pStyle w:val="Default"/>
        <w:jc w:val="both"/>
        <w:rPr>
          <w:sz w:val="23"/>
          <w:szCs w:val="23"/>
        </w:rPr>
      </w:pPr>
      <w:r>
        <w:rPr>
          <w:sz w:val="23"/>
          <w:szCs w:val="23"/>
        </w:rPr>
        <w:t xml:space="preserve">74. </w:t>
      </w:r>
      <w:r w:rsidRPr="00E97FC8">
        <w:rPr>
          <w:b/>
          <w:sz w:val="23"/>
          <w:szCs w:val="23"/>
        </w:rPr>
        <w:t>En définitive, le surcroît de complexité du dispositif de régulation en résultant, avec en particulier une intervention encore plus marquée du régulateur dans l’activité de fourniture d’électricité, recommande d’écarter la mise en place de sous-plafonds par nature de clientèle.</w:t>
      </w:r>
      <w:r>
        <w:rPr>
          <w:sz w:val="23"/>
          <w:szCs w:val="23"/>
        </w:rPr>
        <w:t xml:space="preserve"> </w:t>
      </w:r>
    </w:p>
    <w:p w:rsidR="00141239" w:rsidRDefault="00141239" w:rsidP="003E4E90">
      <w:pPr>
        <w:pStyle w:val="Default"/>
        <w:jc w:val="both"/>
        <w:rPr>
          <w:sz w:val="23"/>
          <w:szCs w:val="23"/>
        </w:rPr>
      </w:pPr>
    </w:p>
    <w:p w:rsidR="00861956" w:rsidRDefault="00861956" w:rsidP="003E4E90">
      <w:pPr>
        <w:pStyle w:val="Default"/>
        <w:jc w:val="both"/>
        <w:rPr>
          <w:sz w:val="23"/>
          <w:szCs w:val="23"/>
        </w:rPr>
      </w:pPr>
    </w:p>
    <w:p w:rsidR="00861956" w:rsidRDefault="00861956" w:rsidP="003E4E90">
      <w:pPr>
        <w:pStyle w:val="Default"/>
        <w:jc w:val="both"/>
        <w:rPr>
          <w:sz w:val="23"/>
          <w:szCs w:val="23"/>
        </w:rPr>
      </w:pPr>
    </w:p>
    <w:p w:rsidR="00E97FC8" w:rsidRDefault="00901AF0" w:rsidP="003E4E90">
      <w:pPr>
        <w:pStyle w:val="Default"/>
        <w:jc w:val="both"/>
        <w:rPr>
          <w:b/>
        </w:rPr>
      </w:pPr>
      <w:r w:rsidRPr="00901AF0">
        <w:rPr>
          <w:b/>
        </w:rPr>
        <w:lastRenderedPageBreak/>
        <w:t>Pertes</w:t>
      </w:r>
    </w:p>
    <w:p w:rsidR="00901AF0" w:rsidRPr="00901AF0" w:rsidRDefault="00901AF0" w:rsidP="003E4E90">
      <w:pPr>
        <w:pStyle w:val="Default"/>
        <w:jc w:val="both"/>
        <w:rPr>
          <w:b/>
        </w:rPr>
      </w:pPr>
    </w:p>
    <w:p w:rsidR="00E97FC8" w:rsidRDefault="00E97FC8" w:rsidP="003E4E90">
      <w:pPr>
        <w:pStyle w:val="Default"/>
        <w:spacing w:after="147"/>
        <w:jc w:val="both"/>
        <w:rPr>
          <w:sz w:val="23"/>
          <w:szCs w:val="23"/>
        </w:rPr>
      </w:pPr>
      <w:r>
        <w:rPr>
          <w:sz w:val="23"/>
          <w:szCs w:val="23"/>
        </w:rPr>
        <w:t xml:space="preserve">Les réseaux publics de transport et de distribution de l’électricité (RTE, ERDF, distributeurs publics locaux) représentent le premier client des fournisseurs d’électricité, avec un besoin total annuel pour couvrir leurs pertes en ligne de 33 TWh soit l’équivalent de 7,5 % des ventes au consommateur final. </w:t>
      </w:r>
    </w:p>
    <w:p w:rsidR="00E97FC8" w:rsidRDefault="00E97FC8" w:rsidP="003E4E90">
      <w:pPr>
        <w:pStyle w:val="Default"/>
        <w:jc w:val="both"/>
        <w:rPr>
          <w:sz w:val="23"/>
          <w:szCs w:val="23"/>
        </w:rPr>
      </w:pPr>
      <w:r>
        <w:rPr>
          <w:sz w:val="23"/>
          <w:szCs w:val="23"/>
        </w:rPr>
        <w:t xml:space="preserve">76. Le projet de loi prévoit que la ressource en électricité régulée pourra être utilisée pour la fourniture aux réseaux, mais seulement dans la limite de 20 TWh et avec une prise en compte progressive étalée sur 3 ans entre 2013 et 2016. </w:t>
      </w:r>
    </w:p>
    <w:p w:rsidR="00E97FC8" w:rsidRDefault="00E97FC8" w:rsidP="003E4E90">
      <w:pPr>
        <w:pStyle w:val="Default"/>
        <w:jc w:val="both"/>
        <w:rPr>
          <w:sz w:val="23"/>
          <w:szCs w:val="23"/>
        </w:rPr>
      </w:pPr>
    </w:p>
    <w:p w:rsidR="00E97FC8" w:rsidRPr="00901AF0" w:rsidRDefault="00D86194" w:rsidP="003E4E90">
      <w:pPr>
        <w:pStyle w:val="Default"/>
        <w:jc w:val="both"/>
        <w:rPr>
          <w:b/>
        </w:rPr>
      </w:pPr>
      <w:r w:rsidRPr="00901AF0">
        <w:rPr>
          <w:b/>
        </w:rPr>
        <w:t xml:space="preserve">Impact sur la liquidité des marchés des </w:t>
      </w:r>
      <w:proofErr w:type="spellStart"/>
      <w:r w:rsidRPr="00901AF0">
        <w:rPr>
          <w:b/>
        </w:rPr>
        <w:t>gross</w:t>
      </w:r>
      <w:proofErr w:type="spellEnd"/>
    </w:p>
    <w:p w:rsidR="00D86194" w:rsidRPr="00D86194" w:rsidRDefault="00D86194" w:rsidP="003E4E90">
      <w:pPr>
        <w:pStyle w:val="Default"/>
        <w:jc w:val="both"/>
        <w:rPr>
          <w:i/>
        </w:rPr>
      </w:pPr>
    </w:p>
    <w:p w:rsidR="00E97FC8" w:rsidRDefault="00E97FC8" w:rsidP="003E4E90">
      <w:pPr>
        <w:pStyle w:val="Default"/>
        <w:spacing w:after="147"/>
        <w:jc w:val="both"/>
        <w:rPr>
          <w:sz w:val="23"/>
          <w:szCs w:val="23"/>
        </w:rPr>
      </w:pPr>
      <w:r>
        <w:rPr>
          <w:sz w:val="23"/>
          <w:szCs w:val="23"/>
        </w:rPr>
        <w:t xml:space="preserve">D’un côté, la disponibilité d’électricité de base au prix régulé améliore la compétitivité des fournisseurs alternatifs dans la concurrence les opposant à EDF pour les ventes aux gestionnaires de réseaux, sachant que le prix offert est déterminant pour des achats obligatoirement effectués par appels d’offres et que les volumes unitaires en jeu sont très importants. </w:t>
      </w:r>
    </w:p>
    <w:p w:rsidR="00E97FC8" w:rsidRDefault="00E97FC8" w:rsidP="003E4E90">
      <w:pPr>
        <w:pStyle w:val="Default"/>
        <w:jc w:val="both"/>
        <w:rPr>
          <w:sz w:val="23"/>
          <w:szCs w:val="23"/>
        </w:rPr>
      </w:pPr>
      <w:r>
        <w:rPr>
          <w:sz w:val="23"/>
          <w:szCs w:val="23"/>
        </w:rPr>
        <w:t xml:space="preserve">79. A l’inverse, les fournisseurs alternatifs s’approvisionnaient jusqu’à maintenant, au moins pour partie, sur le marché de gros de l’électricité pour répondre aux appels d’offres des réseaux. L’activité sur le marché de gros pourrait ainsi être affectée par une réduction de la liquidité et des transactions. </w:t>
      </w:r>
    </w:p>
    <w:p w:rsidR="00E97FC8" w:rsidRPr="00DD1E23" w:rsidRDefault="00E97FC8" w:rsidP="003E4E90">
      <w:pPr>
        <w:pStyle w:val="Default"/>
        <w:jc w:val="both"/>
        <w:rPr>
          <w:b/>
          <w:sz w:val="23"/>
          <w:szCs w:val="23"/>
        </w:rPr>
      </w:pPr>
    </w:p>
    <w:p w:rsidR="00D5233D" w:rsidRDefault="00DD1E23" w:rsidP="003E4E90">
      <w:pPr>
        <w:pStyle w:val="Default"/>
        <w:jc w:val="both"/>
        <w:rPr>
          <w:b/>
        </w:rPr>
      </w:pPr>
      <w:r w:rsidRPr="00DD1E23">
        <w:rPr>
          <w:b/>
        </w:rPr>
        <w:t xml:space="preserve">Allocation du </w:t>
      </w:r>
      <w:proofErr w:type="spellStart"/>
      <w:r w:rsidRPr="00DD1E23">
        <w:rPr>
          <w:b/>
        </w:rPr>
        <w:t>Volumen</w:t>
      </w:r>
      <w:proofErr w:type="spellEnd"/>
    </w:p>
    <w:p w:rsidR="00DD1E23" w:rsidRPr="00DD1E23" w:rsidRDefault="00DD1E23" w:rsidP="003E4E90">
      <w:pPr>
        <w:pStyle w:val="Default"/>
        <w:jc w:val="both"/>
        <w:rPr>
          <w:b/>
        </w:rPr>
      </w:pPr>
    </w:p>
    <w:p w:rsidR="00D5233D" w:rsidRDefault="00D5233D" w:rsidP="003E4E90">
      <w:pPr>
        <w:pStyle w:val="Default"/>
        <w:jc w:val="both"/>
        <w:rPr>
          <w:sz w:val="23"/>
          <w:szCs w:val="23"/>
        </w:rPr>
      </w:pPr>
      <w:r>
        <w:rPr>
          <w:sz w:val="23"/>
          <w:szCs w:val="23"/>
        </w:rPr>
        <w:t xml:space="preserve">Le projet de loi prévoit de répartir le volume global d’électricité régulée entre les fournisseurs sur la base de critères identifiés et objectifs, qui sont les suivants : </w:t>
      </w:r>
    </w:p>
    <w:p w:rsidR="00D5233D" w:rsidRDefault="00D5233D" w:rsidP="003E4E90">
      <w:pPr>
        <w:pStyle w:val="Default"/>
        <w:spacing w:after="147"/>
        <w:jc w:val="both"/>
        <w:rPr>
          <w:sz w:val="23"/>
          <w:szCs w:val="23"/>
        </w:rPr>
      </w:pPr>
      <w:r>
        <w:rPr>
          <w:sz w:val="23"/>
          <w:szCs w:val="23"/>
        </w:rPr>
        <w:t xml:space="preserve">- chaque fournisseur doit disposer d’une autorisation d’exercice accordée par le ministre chargé de l’énergie, au vu de conditions techniques, économiques et financières, qui seront fixées par un décret. On peut relever que le droit antérieur imposait une simple déclaration d’activité adressée au ministre, mais cette contrainte nouvelle a une portée limitée puisque les fournisseurs déjà en activité sont exemptés. </w:t>
      </w:r>
    </w:p>
    <w:p w:rsidR="00D5233D" w:rsidRDefault="00D5233D" w:rsidP="003E4E90">
      <w:pPr>
        <w:pStyle w:val="Default"/>
        <w:spacing w:after="147"/>
        <w:jc w:val="both"/>
        <w:rPr>
          <w:sz w:val="23"/>
          <w:szCs w:val="23"/>
        </w:rPr>
      </w:pPr>
      <w:r>
        <w:rPr>
          <w:sz w:val="23"/>
          <w:szCs w:val="23"/>
        </w:rPr>
        <w:t xml:space="preserve">- Un droit d’accès à l’électricité régulée est reconnu, à titre gratuit, à tout fournisseur sur simple demande de sa part. </w:t>
      </w:r>
    </w:p>
    <w:p w:rsidR="00D5233D" w:rsidRDefault="00D5233D" w:rsidP="003E4E90">
      <w:pPr>
        <w:pStyle w:val="Default"/>
        <w:spacing w:after="147"/>
        <w:jc w:val="both"/>
        <w:rPr>
          <w:sz w:val="23"/>
          <w:szCs w:val="23"/>
        </w:rPr>
      </w:pPr>
      <w:r>
        <w:rPr>
          <w:sz w:val="23"/>
          <w:szCs w:val="23"/>
        </w:rPr>
        <w:t xml:space="preserve">- L’électricité régulée est obligatoirement destinée à la fourniture d’un consommateur final raccordé aux réseaux publics de transport et distribution ou à un gestionnaire de réseaux pour couvrir ses pertes en ligne. Ce critère n’est pas discriminant, car tout consommateur doit être raccordé aux réseaux pour être livré en électricité. </w:t>
      </w:r>
    </w:p>
    <w:p w:rsidR="00D5233D" w:rsidRDefault="00D5233D" w:rsidP="003E4E90">
      <w:pPr>
        <w:pStyle w:val="Default"/>
        <w:jc w:val="both"/>
        <w:rPr>
          <w:sz w:val="23"/>
          <w:szCs w:val="23"/>
        </w:rPr>
      </w:pPr>
      <w:r>
        <w:rPr>
          <w:sz w:val="23"/>
          <w:szCs w:val="23"/>
        </w:rPr>
        <w:t xml:space="preserve">- Le volume d’électricité de base régulée attribué à un fournisseur est déterminé en fonction des caractéristiques et des prévisions de consommation de son portefeuille de clients. La loi ne demande pas ainsi au fournisseur d’avoir déjà une activité commerciale établie, ce qui n’exclut pas les nouveaux entrants éventuels sur le marché du bénéfice de l’ARB. </w:t>
      </w:r>
    </w:p>
    <w:p w:rsidR="00CE3523" w:rsidRDefault="00CE3523" w:rsidP="003E4E90">
      <w:pPr>
        <w:pStyle w:val="Default"/>
        <w:jc w:val="both"/>
        <w:rPr>
          <w:sz w:val="23"/>
          <w:szCs w:val="23"/>
        </w:rPr>
      </w:pPr>
      <w:r>
        <w:rPr>
          <w:sz w:val="23"/>
          <w:szCs w:val="23"/>
        </w:rPr>
        <w:t xml:space="preserve"> </w:t>
      </w:r>
    </w:p>
    <w:p w:rsidR="00D5233D" w:rsidRPr="00DD1E23" w:rsidRDefault="00DD1E23" w:rsidP="003E4E90">
      <w:pPr>
        <w:pStyle w:val="Default"/>
        <w:jc w:val="both"/>
        <w:rPr>
          <w:b/>
        </w:rPr>
      </w:pPr>
      <w:r w:rsidRPr="00DD1E23">
        <w:rPr>
          <w:b/>
        </w:rPr>
        <w:t>Access grat</w:t>
      </w:r>
      <w:r>
        <w:rPr>
          <w:b/>
        </w:rPr>
        <w:t>uit</w:t>
      </w:r>
      <w:r w:rsidRPr="00DD1E23">
        <w:rPr>
          <w:b/>
        </w:rPr>
        <w:t xml:space="preserve"> a la Base</w:t>
      </w:r>
    </w:p>
    <w:p w:rsidR="00DD1E23" w:rsidRPr="00DD1E23" w:rsidRDefault="00DD1E23" w:rsidP="003E4E90">
      <w:pPr>
        <w:pStyle w:val="Default"/>
        <w:jc w:val="both"/>
        <w:rPr>
          <w:b/>
        </w:rPr>
      </w:pPr>
    </w:p>
    <w:p w:rsidR="00D5233D" w:rsidRDefault="00D5233D" w:rsidP="003E4E90">
      <w:pPr>
        <w:pStyle w:val="Default"/>
        <w:spacing w:after="147"/>
        <w:jc w:val="both"/>
        <w:rPr>
          <w:sz w:val="23"/>
          <w:szCs w:val="23"/>
        </w:rPr>
      </w:pPr>
      <w:r>
        <w:rPr>
          <w:sz w:val="23"/>
          <w:szCs w:val="23"/>
        </w:rPr>
        <w:t xml:space="preserve">Le projet de loi choisit d’accorder gratuitement ce droit de tirage à tout fournisseur, avec comme seule limite, un plafonnement du volume maximal rendu ainsi disponible. Cela a pour conséquence que toute concurrence est éliminée entre les fournisseurs pour l’accès à l’électricité de base. </w:t>
      </w:r>
    </w:p>
    <w:p w:rsidR="00D5233D" w:rsidRDefault="00D5233D" w:rsidP="003E4E90">
      <w:pPr>
        <w:pStyle w:val="Default"/>
        <w:spacing w:after="147"/>
        <w:jc w:val="both"/>
        <w:rPr>
          <w:sz w:val="23"/>
          <w:szCs w:val="23"/>
        </w:rPr>
      </w:pPr>
      <w:r>
        <w:rPr>
          <w:sz w:val="23"/>
          <w:szCs w:val="23"/>
        </w:rPr>
        <w:t xml:space="preserve">91. Une solution alternative était concevable par le recours à un système d’enchères organisant la confrontation réelle de l’offre et de la demande. </w:t>
      </w:r>
    </w:p>
    <w:p w:rsidR="00D5233D" w:rsidRDefault="00D5233D" w:rsidP="003E4E90">
      <w:pPr>
        <w:pStyle w:val="Default"/>
        <w:spacing w:after="147"/>
        <w:jc w:val="both"/>
        <w:rPr>
          <w:sz w:val="23"/>
          <w:szCs w:val="23"/>
        </w:rPr>
      </w:pPr>
      <w:r>
        <w:rPr>
          <w:sz w:val="23"/>
          <w:szCs w:val="23"/>
        </w:rPr>
        <w:t xml:space="preserve">92. L’Autorité est certes consciente, que la mise en place d’enchères, entraîne un coût supplémentaire pour l’accès à l’électricité de base par rapport à un simple droit de tirage. Mais l’accès à la production nucléaire pour des fournisseurs, n’ayant pas investi dans la production de base et ne supportant pas les risques associés, a une valeur propre en sus du seul coût de l’électricité. Cette valeur, si elle était déterminée par le biais d’enchères et payée par les nouveaux fournisseurs, représenterait donc le coût d’un investissement </w:t>
      </w:r>
      <w:r>
        <w:rPr>
          <w:sz w:val="23"/>
          <w:szCs w:val="23"/>
        </w:rPr>
        <w:lastRenderedPageBreak/>
        <w:t xml:space="preserve">consenti par un opérateur, qui entend s’installer durablement sur les marchés de la vente d’électricité. Elle aurait donc un effet incitatif en faveur de l’investissement dans des moyens de production propres. </w:t>
      </w:r>
    </w:p>
    <w:p w:rsidR="003E4E90" w:rsidRDefault="00D5233D" w:rsidP="003E4E90">
      <w:pPr>
        <w:pStyle w:val="Default"/>
        <w:jc w:val="both"/>
        <w:rPr>
          <w:sz w:val="23"/>
          <w:szCs w:val="23"/>
        </w:rPr>
      </w:pPr>
      <w:r>
        <w:rPr>
          <w:sz w:val="23"/>
          <w:szCs w:val="23"/>
        </w:rPr>
        <w:t xml:space="preserve">93. Incidemment, </w:t>
      </w:r>
      <w:r w:rsidRPr="00CE3523">
        <w:rPr>
          <w:b/>
          <w:sz w:val="23"/>
          <w:szCs w:val="23"/>
        </w:rPr>
        <w:t>le choix par la loi d’un droit d’accès gratuit constitue aussi un argument supplémentaire pour réduire progressivement le volume global d’électricité régulée au long des 15 années de régulation.</w:t>
      </w:r>
      <w:r>
        <w:rPr>
          <w:sz w:val="23"/>
          <w:szCs w:val="23"/>
        </w:rPr>
        <w:t xml:space="preserve"> Cela permettrait de réintégrer, par étapes, le fait que la vente d’électricité au consommateur final est indissociable de la maîtrise par un fournisseur de ses approvisionnements, par la production ou l’achat sur le marché, et que ceux-ci ont leur propre coût déterminé par l’offre et la demande sur le marché. </w:t>
      </w:r>
    </w:p>
    <w:p w:rsidR="003E4E90" w:rsidRDefault="003E4E90" w:rsidP="003E4E90">
      <w:pPr>
        <w:pStyle w:val="Default"/>
        <w:jc w:val="both"/>
        <w:rPr>
          <w:sz w:val="23"/>
          <w:szCs w:val="23"/>
        </w:rPr>
      </w:pPr>
    </w:p>
    <w:p w:rsidR="00DD1E23" w:rsidRDefault="00DD1E23" w:rsidP="003E4E90">
      <w:pPr>
        <w:pStyle w:val="Default"/>
        <w:jc w:val="both"/>
        <w:rPr>
          <w:b/>
          <w:sz w:val="23"/>
          <w:szCs w:val="23"/>
        </w:rPr>
      </w:pPr>
      <w:r w:rsidRPr="00DD1E23">
        <w:rPr>
          <w:b/>
          <w:sz w:val="23"/>
          <w:szCs w:val="23"/>
        </w:rPr>
        <w:t xml:space="preserve">Contrats gré </w:t>
      </w:r>
      <w:proofErr w:type="gramStart"/>
      <w:r w:rsidRPr="00DD1E23">
        <w:rPr>
          <w:b/>
          <w:sz w:val="23"/>
          <w:szCs w:val="23"/>
        </w:rPr>
        <w:t>a</w:t>
      </w:r>
      <w:proofErr w:type="gramEnd"/>
      <w:r w:rsidRPr="00DD1E23">
        <w:rPr>
          <w:b/>
          <w:sz w:val="23"/>
          <w:szCs w:val="23"/>
        </w:rPr>
        <w:t xml:space="preserve"> gré</w:t>
      </w:r>
    </w:p>
    <w:p w:rsidR="00DD1E23" w:rsidRDefault="00DD1E23" w:rsidP="003E4E90">
      <w:pPr>
        <w:pStyle w:val="Default"/>
        <w:jc w:val="both"/>
        <w:rPr>
          <w:sz w:val="23"/>
          <w:szCs w:val="23"/>
        </w:rPr>
      </w:pPr>
    </w:p>
    <w:p w:rsidR="00CE3523" w:rsidRDefault="00CE3523" w:rsidP="003E4E90">
      <w:pPr>
        <w:pStyle w:val="Default"/>
        <w:jc w:val="both"/>
        <w:rPr>
          <w:sz w:val="23"/>
          <w:szCs w:val="23"/>
        </w:rPr>
      </w:pPr>
      <w:r>
        <w:rPr>
          <w:sz w:val="23"/>
          <w:szCs w:val="23"/>
        </w:rPr>
        <w:t xml:space="preserve">Le projet de loi ouvre la possibilité à un fournisseur alternatif de décider, en accord avec EDF, de déduire de sa demande d’électricité régulée les volumes qu’il obtient par ailleurs dans le cadre d’un contrat de gré à gré avec EDF : « </w:t>
      </w:r>
      <w:r>
        <w:rPr>
          <w:i/>
          <w:iCs/>
          <w:sz w:val="23"/>
          <w:szCs w:val="23"/>
        </w:rPr>
        <w:t xml:space="preserve">Le volume </w:t>
      </w:r>
      <w:r>
        <w:rPr>
          <w:sz w:val="23"/>
          <w:szCs w:val="23"/>
        </w:rPr>
        <w:t xml:space="preserve">[de l’ARB] </w:t>
      </w:r>
      <w:r>
        <w:rPr>
          <w:i/>
          <w:iCs/>
          <w:sz w:val="23"/>
          <w:szCs w:val="23"/>
        </w:rPr>
        <w:t xml:space="preserve">peut être réduit, sur décision conjointe du fournisseur et d'EDF, des quantités d’électricité de base dont dispose, sur le territoire métropolitain continental, le fournisseur ou toute société qui lui est liée par le biais de contrats conclus avec EDF </w:t>
      </w:r>
      <w:r>
        <w:rPr>
          <w:sz w:val="23"/>
          <w:szCs w:val="23"/>
        </w:rPr>
        <w:t xml:space="preserve">(…) ». </w:t>
      </w:r>
    </w:p>
    <w:p w:rsidR="00CE3523" w:rsidRDefault="00CE3523" w:rsidP="003E4E90">
      <w:pPr>
        <w:pStyle w:val="Default"/>
        <w:jc w:val="both"/>
      </w:pPr>
    </w:p>
    <w:p w:rsidR="00CE3523" w:rsidRDefault="00CE3523" w:rsidP="003E4E90">
      <w:pPr>
        <w:pStyle w:val="Default"/>
        <w:jc w:val="both"/>
        <w:rPr>
          <w:sz w:val="23"/>
          <w:szCs w:val="23"/>
        </w:rPr>
      </w:pPr>
      <w:r>
        <w:rPr>
          <w:sz w:val="23"/>
          <w:szCs w:val="23"/>
        </w:rPr>
        <w:t xml:space="preserve">Cette clause comporte, tout à la fois, des effets positifs pour l’animation concurrentielle du marché et des risques pour le fonctionnement de ce dernier </w:t>
      </w:r>
      <w:r w:rsidR="00DD1E23">
        <w:rPr>
          <w:sz w:val="23"/>
          <w:szCs w:val="23"/>
        </w:rPr>
        <w:t xml:space="preserve">(el </w:t>
      </w:r>
      <w:proofErr w:type="spellStart"/>
      <w:r w:rsidR="00DD1E23">
        <w:rPr>
          <w:sz w:val="23"/>
          <w:szCs w:val="23"/>
        </w:rPr>
        <w:t>consejo</w:t>
      </w:r>
      <w:proofErr w:type="spellEnd"/>
      <w:r w:rsidR="00DD1E23">
        <w:rPr>
          <w:sz w:val="23"/>
          <w:szCs w:val="23"/>
        </w:rPr>
        <w:t xml:space="preserve"> de la </w:t>
      </w:r>
      <w:proofErr w:type="spellStart"/>
      <w:r w:rsidR="00DD1E23">
        <w:rPr>
          <w:sz w:val="23"/>
          <w:szCs w:val="23"/>
        </w:rPr>
        <w:t>competencia</w:t>
      </w:r>
      <w:proofErr w:type="spellEnd"/>
      <w:r w:rsidR="00DD1E23">
        <w:rPr>
          <w:sz w:val="23"/>
          <w:szCs w:val="23"/>
        </w:rPr>
        <w:t xml:space="preserve"> no </w:t>
      </w:r>
      <w:proofErr w:type="spellStart"/>
      <w:r w:rsidR="00DD1E23">
        <w:rPr>
          <w:sz w:val="23"/>
          <w:szCs w:val="23"/>
        </w:rPr>
        <w:t>hace</w:t>
      </w:r>
      <w:proofErr w:type="spellEnd"/>
      <w:r w:rsidR="00DD1E23">
        <w:rPr>
          <w:sz w:val="23"/>
          <w:szCs w:val="23"/>
        </w:rPr>
        <w:t xml:space="preserve"> </w:t>
      </w:r>
      <w:proofErr w:type="spellStart"/>
      <w:r w:rsidR="00DD1E23">
        <w:rPr>
          <w:sz w:val="23"/>
          <w:szCs w:val="23"/>
        </w:rPr>
        <w:t>ninguna</w:t>
      </w:r>
      <w:proofErr w:type="spellEnd"/>
      <w:r w:rsidR="00DD1E23">
        <w:rPr>
          <w:sz w:val="23"/>
          <w:szCs w:val="23"/>
        </w:rPr>
        <w:t xml:space="preserve"> </w:t>
      </w:r>
      <w:proofErr w:type="spellStart"/>
      <w:r w:rsidR="00DD1E23">
        <w:rPr>
          <w:sz w:val="23"/>
          <w:szCs w:val="23"/>
        </w:rPr>
        <w:t>recomendacion</w:t>
      </w:r>
      <w:proofErr w:type="spellEnd"/>
      <w:r w:rsidR="00DD1E23">
        <w:rPr>
          <w:sz w:val="23"/>
          <w:szCs w:val="23"/>
        </w:rPr>
        <w:t xml:space="preserve"> a </w:t>
      </w:r>
      <w:proofErr w:type="spellStart"/>
      <w:r w:rsidR="00DD1E23">
        <w:rPr>
          <w:sz w:val="23"/>
          <w:szCs w:val="23"/>
        </w:rPr>
        <w:t>tal</w:t>
      </w:r>
      <w:proofErr w:type="spellEnd"/>
      <w:r w:rsidR="00DD1E23">
        <w:rPr>
          <w:sz w:val="23"/>
          <w:szCs w:val="23"/>
        </w:rPr>
        <w:t xml:space="preserve"> </w:t>
      </w:r>
      <w:proofErr w:type="spellStart"/>
      <w:r w:rsidR="00DD1E23">
        <w:rPr>
          <w:sz w:val="23"/>
          <w:szCs w:val="23"/>
        </w:rPr>
        <w:t>efecto</w:t>
      </w:r>
      <w:proofErr w:type="spellEnd"/>
      <w:r w:rsidR="00DD1E23">
        <w:rPr>
          <w:sz w:val="23"/>
          <w:szCs w:val="23"/>
        </w:rPr>
        <w:t>)</w:t>
      </w:r>
    </w:p>
    <w:p w:rsidR="00DD1E23" w:rsidRDefault="00DD1E23" w:rsidP="003E4E90">
      <w:pPr>
        <w:pStyle w:val="Default"/>
        <w:jc w:val="both"/>
        <w:rPr>
          <w:sz w:val="23"/>
          <w:szCs w:val="23"/>
        </w:rPr>
      </w:pPr>
    </w:p>
    <w:p w:rsidR="00DD1E23" w:rsidRDefault="00DD1E23" w:rsidP="003E4E90">
      <w:pPr>
        <w:pStyle w:val="Default"/>
        <w:jc w:val="both"/>
        <w:rPr>
          <w:sz w:val="23"/>
          <w:szCs w:val="23"/>
        </w:rPr>
      </w:pPr>
    </w:p>
    <w:p w:rsidR="00DD1E23" w:rsidRPr="00DD1E23" w:rsidRDefault="00DD1E23" w:rsidP="003E4E90">
      <w:pPr>
        <w:pStyle w:val="Default"/>
        <w:jc w:val="both"/>
        <w:rPr>
          <w:b/>
        </w:rPr>
      </w:pPr>
      <w:r w:rsidRPr="00DD1E23">
        <w:rPr>
          <w:b/>
        </w:rPr>
        <w:t>Administration</w:t>
      </w:r>
    </w:p>
    <w:p w:rsidR="00DD1E23" w:rsidRDefault="00DD1E23" w:rsidP="003E4E90">
      <w:pPr>
        <w:pStyle w:val="Default"/>
        <w:jc w:val="both"/>
      </w:pPr>
    </w:p>
    <w:p w:rsidR="00DD1E23" w:rsidRDefault="00DD1E23" w:rsidP="003E4E90">
      <w:pPr>
        <w:pStyle w:val="Default"/>
        <w:spacing w:after="147"/>
        <w:jc w:val="both"/>
        <w:rPr>
          <w:sz w:val="23"/>
          <w:szCs w:val="23"/>
        </w:rPr>
      </w:pPr>
      <w:r>
        <w:rPr>
          <w:sz w:val="23"/>
          <w:szCs w:val="23"/>
        </w:rPr>
        <w:t xml:space="preserve">La lourdeur du dispositif juridique d’attribution, et les échanges d’informations entre opérateurs auxquels il se prête, appellent deux remarques. </w:t>
      </w:r>
    </w:p>
    <w:p w:rsidR="00DD1E23" w:rsidRDefault="00DD1E23" w:rsidP="003E4E90">
      <w:pPr>
        <w:pStyle w:val="Default"/>
        <w:spacing w:after="147"/>
        <w:jc w:val="both"/>
        <w:rPr>
          <w:sz w:val="23"/>
          <w:szCs w:val="23"/>
        </w:rPr>
      </w:pPr>
      <w:r>
        <w:rPr>
          <w:sz w:val="23"/>
          <w:szCs w:val="23"/>
        </w:rPr>
        <w:t xml:space="preserve">105. Pour obtenir de l’électricité régulée, chaque fournisseur doit conclure avec EDF un accord-cadre, qui définit « </w:t>
      </w:r>
      <w:r w:rsidRPr="005911D5">
        <w:rPr>
          <w:sz w:val="23"/>
          <w:szCs w:val="23"/>
        </w:rPr>
        <w:t xml:space="preserve">les modalités selon lesquelles </w:t>
      </w:r>
      <w:r>
        <w:rPr>
          <w:sz w:val="23"/>
          <w:szCs w:val="23"/>
        </w:rPr>
        <w:t xml:space="preserve">[le] </w:t>
      </w:r>
      <w:r w:rsidRPr="005911D5">
        <w:rPr>
          <w:sz w:val="23"/>
          <w:szCs w:val="23"/>
        </w:rPr>
        <w:t xml:space="preserve">fournisseur pourra, à sa demande, exercer son droit d’accès à l’électricité de base pendant la période transitoire </w:t>
      </w:r>
      <w:r>
        <w:rPr>
          <w:sz w:val="23"/>
          <w:szCs w:val="23"/>
        </w:rPr>
        <w:t xml:space="preserve">[de régulation] », puis en application de cet accord, un contrat annuel d’approvisionnement. </w:t>
      </w:r>
    </w:p>
    <w:p w:rsidR="00DD1E23" w:rsidRDefault="00DD1E23" w:rsidP="003E4E90">
      <w:pPr>
        <w:pStyle w:val="Default"/>
        <w:spacing w:after="147"/>
        <w:jc w:val="both"/>
        <w:rPr>
          <w:sz w:val="23"/>
          <w:szCs w:val="23"/>
        </w:rPr>
      </w:pPr>
      <w:r>
        <w:rPr>
          <w:sz w:val="23"/>
          <w:szCs w:val="23"/>
        </w:rPr>
        <w:t xml:space="preserve">106. La CRE fixe ensuite le volume d’électricité régulée effectivement accordé à chaque fournisseur et le lui notifie ainsi qu’à EDF. La suite du texte conduit à comprendre cette intervention de la CRE comme la correction du volume convenu contractuellement entre les parties, afin d’en déduire les quantités relatives aux contrats passés avec des gros consommateurs antérieurement à la loi, celles prévues par les accords bilatéraux d’approvisionnement entre EDF et un fournisseur, si les deux parties le demandent, ainsi qu’à une diminution éventuelle des demandes de tous les fournisseurs au prorata en cas de dépassement du plafond global de l’ARB. </w:t>
      </w:r>
    </w:p>
    <w:p w:rsidR="00DD1E23" w:rsidRDefault="00DD1E23" w:rsidP="003E4E90">
      <w:pPr>
        <w:pStyle w:val="Default"/>
        <w:spacing w:after="147"/>
        <w:jc w:val="both"/>
        <w:rPr>
          <w:sz w:val="23"/>
          <w:szCs w:val="23"/>
        </w:rPr>
      </w:pPr>
      <w:r>
        <w:rPr>
          <w:sz w:val="23"/>
          <w:szCs w:val="23"/>
        </w:rPr>
        <w:t xml:space="preserve">L’Autorité appelle l’attention du législateur et ultérieurement du régulateur sur les risques potentiels pour la concurrence d’une telle situation. Le dispositif ARB ne doit pas avoir pour conséquence, même indirecte, de permettre ou de faciliter les échanges d’informations commerciales ou de prix confidentielles entre les fournisseurs, ce qui irait à l’encontre des principes d’autonomie de chaque entreprise dans la définition de sa politique commerciale et d’incertitude quant aux comportements de ses concurrents, qui sont à la base de l’exercice de la concurrence sur un marché. </w:t>
      </w:r>
    </w:p>
    <w:p w:rsidR="00DD1E23" w:rsidRDefault="00DD1E23" w:rsidP="003E4E90">
      <w:pPr>
        <w:pStyle w:val="Default"/>
        <w:jc w:val="both"/>
        <w:rPr>
          <w:sz w:val="23"/>
          <w:szCs w:val="23"/>
        </w:rPr>
      </w:pPr>
      <w:r>
        <w:rPr>
          <w:sz w:val="23"/>
          <w:szCs w:val="23"/>
        </w:rPr>
        <w:t xml:space="preserve">112. Dans ce contexte, </w:t>
      </w:r>
      <w:r w:rsidRPr="005911D5">
        <w:rPr>
          <w:b/>
          <w:sz w:val="23"/>
          <w:szCs w:val="23"/>
        </w:rPr>
        <w:t>l’Autorité recommande que les contrats ARB annuels mentionnent les informations quantitatives nécessaires à leur réalisation, sous la forme la plus agrégée et la plus anonyme possible. La communication à EDF des courbes de consommation de clients ou de catégories de clients du fournisseur alternatif est ainsi à exclure. Par analogie, le fournisseur alternatif devrait exprimer sa demande d’électricité régulée à EDF, dans les mêmes termes techniques qu’il utiliserait comme demandeur sur le marché de gros.</w:t>
      </w:r>
    </w:p>
    <w:p w:rsidR="00DD1E23" w:rsidRDefault="00DD1E23" w:rsidP="003E4E90">
      <w:pPr>
        <w:pStyle w:val="Default"/>
        <w:jc w:val="both"/>
        <w:rPr>
          <w:sz w:val="23"/>
          <w:szCs w:val="23"/>
        </w:rPr>
      </w:pPr>
    </w:p>
    <w:p w:rsidR="00861956" w:rsidRDefault="00861956" w:rsidP="003E4E90">
      <w:pPr>
        <w:pStyle w:val="Default"/>
        <w:jc w:val="both"/>
        <w:rPr>
          <w:sz w:val="23"/>
          <w:szCs w:val="23"/>
        </w:rPr>
      </w:pPr>
    </w:p>
    <w:p w:rsidR="00861956" w:rsidRDefault="00861956" w:rsidP="003E4E90">
      <w:pPr>
        <w:pStyle w:val="Default"/>
        <w:jc w:val="both"/>
        <w:rPr>
          <w:sz w:val="23"/>
          <w:szCs w:val="23"/>
        </w:rPr>
      </w:pPr>
    </w:p>
    <w:p w:rsidR="00DD1E23" w:rsidRPr="005911D5" w:rsidRDefault="00DD1E23" w:rsidP="003E4E90">
      <w:pPr>
        <w:pStyle w:val="Default"/>
        <w:jc w:val="both"/>
        <w:rPr>
          <w:b/>
          <w:sz w:val="23"/>
          <w:szCs w:val="23"/>
        </w:rPr>
      </w:pPr>
      <w:r w:rsidRPr="005911D5">
        <w:rPr>
          <w:b/>
          <w:sz w:val="23"/>
          <w:szCs w:val="23"/>
        </w:rPr>
        <w:lastRenderedPageBreak/>
        <w:t xml:space="preserve">Prix </w:t>
      </w:r>
      <w:proofErr w:type="gramStart"/>
      <w:r w:rsidRPr="005911D5">
        <w:rPr>
          <w:b/>
          <w:sz w:val="23"/>
          <w:szCs w:val="23"/>
        </w:rPr>
        <w:t>du ARB</w:t>
      </w:r>
      <w:proofErr w:type="gramEnd"/>
    </w:p>
    <w:p w:rsidR="00DD1E23" w:rsidRDefault="00DD1E23" w:rsidP="003E4E90">
      <w:pPr>
        <w:pStyle w:val="Default"/>
        <w:jc w:val="both"/>
      </w:pPr>
    </w:p>
    <w:p w:rsidR="00DD1E23" w:rsidRDefault="00DD1E23" w:rsidP="003E4E90">
      <w:pPr>
        <w:pStyle w:val="Default"/>
        <w:spacing w:after="147"/>
        <w:jc w:val="both"/>
        <w:rPr>
          <w:sz w:val="23"/>
          <w:szCs w:val="23"/>
        </w:rPr>
      </w:pPr>
      <w:r>
        <w:rPr>
          <w:sz w:val="23"/>
          <w:szCs w:val="23"/>
        </w:rPr>
        <w:t xml:space="preserve">Le prix de cession de l’électricité régulée est la finalité même du dispositif ARB. Il s’agit de permettre aux fournisseurs alternatifs de concurrencer EDF en leur donnant accès à un prix de production de l’électricité, qui s’avère inégalable à moyen terme par les autres fournisseurs pour des raisons tenant à la technologie mise en </w:t>
      </w:r>
      <w:proofErr w:type="spellStart"/>
      <w:r>
        <w:rPr>
          <w:sz w:val="23"/>
          <w:szCs w:val="23"/>
        </w:rPr>
        <w:t>oeuvre</w:t>
      </w:r>
      <w:proofErr w:type="spellEnd"/>
      <w:r>
        <w:rPr>
          <w:sz w:val="23"/>
          <w:szCs w:val="23"/>
        </w:rPr>
        <w:t xml:space="preserve"> et au caractère largement amorti des centrales nucléaires, dans les limites d’un volume d’électricité plafonné et pour une période transitoire. </w:t>
      </w:r>
    </w:p>
    <w:p w:rsidR="00B5136F" w:rsidRDefault="00DD1E23" w:rsidP="003E4E90">
      <w:pPr>
        <w:pStyle w:val="Default"/>
        <w:jc w:val="both"/>
        <w:rPr>
          <w:sz w:val="23"/>
          <w:szCs w:val="23"/>
        </w:rPr>
      </w:pPr>
      <w:r>
        <w:rPr>
          <w:sz w:val="23"/>
          <w:szCs w:val="23"/>
        </w:rPr>
        <w:t>114. Le projet de loi prévoit ainsi que le prix de l’électricité régulée doit re</w:t>
      </w:r>
      <w:r w:rsidR="00B5136F">
        <w:rPr>
          <w:sz w:val="23"/>
          <w:szCs w:val="23"/>
        </w:rPr>
        <w:t>specter deux règles distinctes :</w:t>
      </w:r>
    </w:p>
    <w:p w:rsidR="00B5136F" w:rsidRDefault="00B5136F" w:rsidP="003E4E90">
      <w:pPr>
        <w:pStyle w:val="Default"/>
        <w:numPr>
          <w:ilvl w:val="0"/>
          <w:numId w:val="3"/>
        </w:numPr>
        <w:jc w:val="both"/>
        <w:rPr>
          <w:sz w:val="23"/>
          <w:szCs w:val="23"/>
        </w:rPr>
      </w:pPr>
      <w:r>
        <w:rPr>
          <w:sz w:val="23"/>
          <w:szCs w:val="23"/>
        </w:rPr>
        <w:t xml:space="preserve">La première est la couverture du coût total de production de EDF : </w:t>
      </w:r>
      <w:r w:rsidR="00DD1E23">
        <w:rPr>
          <w:sz w:val="23"/>
          <w:szCs w:val="23"/>
        </w:rPr>
        <w:t xml:space="preserve">« </w:t>
      </w:r>
      <w:r w:rsidR="00DD1E23">
        <w:rPr>
          <w:i/>
          <w:iCs/>
          <w:sz w:val="23"/>
          <w:szCs w:val="23"/>
        </w:rPr>
        <w:t xml:space="preserve">Afin d’assurer une juste rémunération à Électricité de France, le prix est représentatif des conditions économiques des centrales </w:t>
      </w:r>
      <w:r w:rsidR="00DD1E23">
        <w:rPr>
          <w:sz w:val="23"/>
          <w:szCs w:val="23"/>
        </w:rPr>
        <w:t>[nucléaires en service] ».</w:t>
      </w:r>
    </w:p>
    <w:p w:rsidR="00DD1E23" w:rsidRDefault="00DD1E23" w:rsidP="003E4E90">
      <w:pPr>
        <w:pStyle w:val="Default"/>
        <w:numPr>
          <w:ilvl w:val="0"/>
          <w:numId w:val="3"/>
        </w:numPr>
        <w:jc w:val="both"/>
        <w:rPr>
          <w:sz w:val="23"/>
          <w:szCs w:val="23"/>
        </w:rPr>
      </w:pPr>
      <w:r>
        <w:rPr>
          <w:sz w:val="23"/>
          <w:szCs w:val="23"/>
        </w:rPr>
        <w:t xml:space="preserve"> La seconde est celle d’un niveau comparable au prix qu’EDF applique pour ses propres ventes au détail au consommateur final « </w:t>
      </w:r>
      <w:r>
        <w:rPr>
          <w:i/>
          <w:iCs/>
          <w:sz w:val="23"/>
          <w:szCs w:val="23"/>
        </w:rPr>
        <w:t xml:space="preserve">Les contrats garantissent </w:t>
      </w:r>
      <w:r>
        <w:rPr>
          <w:sz w:val="23"/>
          <w:szCs w:val="23"/>
        </w:rPr>
        <w:t xml:space="preserve">[aux fournisseurs alternatifs] </w:t>
      </w:r>
      <w:r>
        <w:rPr>
          <w:i/>
          <w:iCs/>
          <w:sz w:val="23"/>
          <w:szCs w:val="23"/>
        </w:rPr>
        <w:t xml:space="preserve">des conditions d’achat reflétant les conditions économiques de production d’électricité par les centrales nucléaires de EDF </w:t>
      </w:r>
      <w:r>
        <w:rPr>
          <w:sz w:val="23"/>
          <w:szCs w:val="23"/>
        </w:rPr>
        <w:t xml:space="preserve">». </w:t>
      </w:r>
    </w:p>
    <w:p w:rsidR="00DD1E23" w:rsidRDefault="00DD1E23" w:rsidP="003E4E90">
      <w:pPr>
        <w:pStyle w:val="Default"/>
        <w:jc w:val="both"/>
        <w:rPr>
          <w:sz w:val="23"/>
          <w:szCs w:val="23"/>
        </w:rPr>
      </w:pPr>
    </w:p>
    <w:p w:rsidR="00B5136F" w:rsidRDefault="00B5136F" w:rsidP="003E4E90">
      <w:pPr>
        <w:pStyle w:val="Default"/>
        <w:jc w:val="both"/>
        <w:rPr>
          <w:sz w:val="23"/>
          <w:szCs w:val="23"/>
        </w:rPr>
      </w:pPr>
      <w:r>
        <w:rPr>
          <w:sz w:val="23"/>
          <w:szCs w:val="23"/>
        </w:rPr>
        <w:t xml:space="preserve">Le prix de l’ARB est fixé par arrêté des ministres de l’économie et de l’énergie sur proposition de la CRE, qui se voit reconnaître à cette fin un pouvoir étendu d’investigation comptable et financière. A titre transitoire, le prix de l’ARB reste fixé par les ministres, après avis simple de la CRE, pendant les trois premières années suivant l’entrée en vigueur de la loi. </w:t>
      </w:r>
    </w:p>
    <w:p w:rsidR="003F7DAC" w:rsidRDefault="003F7DAC" w:rsidP="003E4E90">
      <w:pPr>
        <w:pStyle w:val="Default"/>
        <w:jc w:val="both"/>
      </w:pPr>
    </w:p>
    <w:p w:rsidR="003F7DAC" w:rsidRDefault="003F7DAC" w:rsidP="003E4E90">
      <w:pPr>
        <w:pStyle w:val="Default"/>
        <w:spacing w:after="147"/>
        <w:jc w:val="both"/>
        <w:rPr>
          <w:sz w:val="23"/>
          <w:szCs w:val="23"/>
        </w:rPr>
      </w:pPr>
      <w:r>
        <w:rPr>
          <w:sz w:val="23"/>
          <w:szCs w:val="23"/>
        </w:rPr>
        <w:t xml:space="preserve">La mise en place d’une régulation de la production d’électricité pour une durée de 15 ans modifie profondément et durablement les conditions d’exercice de la concurrence sur le marché de la fourniture d’électricité. </w:t>
      </w:r>
    </w:p>
    <w:p w:rsidR="003F7DAC" w:rsidRDefault="003F7DAC" w:rsidP="003E4E90">
      <w:pPr>
        <w:pStyle w:val="Default"/>
        <w:spacing w:after="147"/>
        <w:jc w:val="both"/>
        <w:rPr>
          <w:sz w:val="23"/>
          <w:szCs w:val="23"/>
        </w:rPr>
      </w:pPr>
      <w:r>
        <w:rPr>
          <w:sz w:val="23"/>
          <w:szCs w:val="23"/>
        </w:rPr>
        <w:t xml:space="preserve">117. L’efficacité de la concurrence demande que les règles instaurées soient évidemment claires et publiques, mais aussi qu’elles présentent une certaine stabilité au long de la période de régulation. Cette stabilité s’avère indispensable dans le cas présent, car il s’agit d’une activité se caractérisant par un cycle d’investissement à la fois long et coûteux, et les nouveaux opérateurs ont besoin de visibilité pour bâtir leur plan de développement. </w:t>
      </w:r>
    </w:p>
    <w:p w:rsidR="003F7DAC" w:rsidRDefault="003F7DAC" w:rsidP="003E4E90">
      <w:pPr>
        <w:pStyle w:val="Default"/>
        <w:jc w:val="both"/>
        <w:rPr>
          <w:sz w:val="23"/>
          <w:szCs w:val="23"/>
        </w:rPr>
      </w:pPr>
      <w:r>
        <w:rPr>
          <w:sz w:val="23"/>
          <w:szCs w:val="23"/>
        </w:rPr>
        <w:t xml:space="preserve">118. </w:t>
      </w:r>
      <w:r w:rsidRPr="003F7DAC">
        <w:rPr>
          <w:b/>
          <w:sz w:val="23"/>
          <w:szCs w:val="23"/>
        </w:rPr>
        <w:t>Tel n’est pas le cas du projet de loi, dont le septièmement de l’article 1</w:t>
      </w:r>
      <w:r w:rsidRPr="003F7DAC">
        <w:rPr>
          <w:b/>
          <w:sz w:val="16"/>
          <w:szCs w:val="16"/>
        </w:rPr>
        <w:t xml:space="preserve">er </w:t>
      </w:r>
      <w:r w:rsidRPr="003F7DAC">
        <w:rPr>
          <w:b/>
          <w:sz w:val="23"/>
          <w:szCs w:val="23"/>
        </w:rPr>
        <w:t>ouvre la possibilité de modifications importantes de la règle de calcul du prix de l’ARB en 2015 et en 2020.</w:t>
      </w:r>
      <w:r>
        <w:rPr>
          <w:sz w:val="23"/>
          <w:szCs w:val="23"/>
        </w:rPr>
        <w:t xml:space="preserve"> </w:t>
      </w:r>
    </w:p>
    <w:p w:rsidR="00886DA9" w:rsidRDefault="00886DA9" w:rsidP="003E4E90">
      <w:pPr>
        <w:pStyle w:val="Default"/>
        <w:jc w:val="both"/>
        <w:rPr>
          <w:sz w:val="23"/>
          <w:szCs w:val="23"/>
        </w:rPr>
      </w:pPr>
    </w:p>
    <w:p w:rsidR="00886DA9" w:rsidRDefault="00886DA9" w:rsidP="003E4E90">
      <w:pPr>
        <w:pStyle w:val="Default"/>
        <w:jc w:val="both"/>
        <w:rPr>
          <w:sz w:val="23"/>
          <w:szCs w:val="23"/>
        </w:rPr>
      </w:pPr>
      <w:r>
        <w:rPr>
          <w:sz w:val="23"/>
          <w:szCs w:val="23"/>
        </w:rPr>
        <w:t xml:space="preserve">Le projet de loi définit le périmètre concerné (les centrales nucléaires actuellement en service) et énumère les catégories de charges que la CRE devra retenir pour calculer le prix de cession de l’électricité régulée. Il s’agit : de la rémunération des capitaux investis, des coûts d’exploitation, des coûts des investissements de mise à niveau, ainsi que des coûts futurs de démantèlement </w:t>
      </w:r>
    </w:p>
    <w:p w:rsidR="00886DA9" w:rsidRDefault="00886DA9" w:rsidP="003E4E90">
      <w:pPr>
        <w:pStyle w:val="Default"/>
        <w:jc w:val="both"/>
      </w:pPr>
    </w:p>
    <w:p w:rsidR="00886DA9" w:rsidRDefault="00886DA9" w:rsidP="003E4E90">
      <w:pPr>
        <w:pStyle w:val="Default"/>
        <w:jc w:val="both"/>
        <w:rPr>
          <w:sz w:val="23"/>
          <w:szCs w:val="23"/>
        </w:rPr>
      </w:pPr>
      <w:r>
        <w:rPr>
          <w:sz w:val="23"/>
          <w:szCs w:val="23"/>
        </w:rPr>
        <w:t xml:space="preserve">Sur le principe, le texte reprend les éléments constituant les charges figurant à un compte de résultats et doit permettre de calculer le coût de revient complet de production d’un </w:t>
      </w:r>
      <w:proofErr w:type="spellStart"/>
      <w:r>
        <w:rPr>
          <w:sz w:val="23"/>
          <w:szCs w:val="23"/>
        </w:rPr>
        <w:t>mégawattheure</w:t>
      </w:r>
      <w:proofErr w:type="spellEnd"/>
      <w:r>
        <w:rPr>
          <w:sz w:val="23"/>
          <w:szCs w:val="23"/>
        </w:rPr>
        <w:t xml:space="preserve"> nucléaire. Il faudra néanmoins, attendre le décret d’application, pour savoir ce que recouvrent exactement les catégories de charges mentionnées, et pour se prononcer ainsi sur la couverture, ou non, par le prix de l’ARB de la totalité des coûts encourus par EDF. </w:t>
      </w:r>
    </w:p>
    <w:p w:rsidR="00886DA9" w:rsidRDefault="00886DA9" w:rsidP="003E4E90">
      <w:pPr>
        <w:pStyle w:val="Default"/>
        <w:jc w:val="both"/>
      </w:pPr>
    </w:p>
    <w:p w:rsidR="00886DA9" w:rsidRDefault="00886DA9" w:rsidP="003E4E90">
      <w:pPr>
        <w:pStyle w:val="Default"/>
        <w:jc w:val="both"/>
        <w:rPr>
          <w:sz w:val="23"/>
          <w:szCs w:val="23"/>
        </w:rPr>
      </w:pPr>
      <w:r w:rsidRPr="00886DA9">
        <w:rPr>
          <w:b/>
          <w:sz w:val="23"/>
          <w:szCs w:val="23"/>
        </w:rPr>
        <w:t>L’avis de l’Autorité sur le prix de l’ARB reste donc tributaire de ce futur texte d’application, qui devra obligatoirement lui être soumis avant son adoption, en vertu de l’article L. 410-2 du code de commerce. Cette règle de procédure est d’ailleurs rappelée à l’article 4 du projet de loi</w:t>
      </w:r>
      <w:r>
        <w:rPr>
          <w:sz w:val="23"/>
          <w:szCs w:val="23"/>
        </w:rPr>
        <w:t xml:space="preserve">. </w:t>
      </w:r>
    </w:p>
    <w:p w:rsidR="00886DA9" w:rsidRDefault="00886DA9" w:rsidP="003E4E90">
      <w:pPr>
        <w:pStyle w:val="Default"/>
        <w:jc w:val="both"/>
      </w:pPr>
    </w:p>
    <w:p w:rsidR="00886DA9" w:rsidRDefault="00886DA9" w:rsidP="003E4E90">
      <w:pPr>
        <w:pStyle w:val="Default"/>
        <w:jc w:val="both"/>
        <w:rPr>
          <w:sz w:val="23"/>
          <w:szCs w:val="23"/>
        </w:rPr>
      </w:pPr>
      <w:r>
        <w:rPr>
          <w:sz w:val="23"/>
          <w:szCs w:val="23"/>
        </w:rPr>
        <w:t xml:space="preserve">Lors de l’instruction, EDF a communiqué aux rapporteurs des ordres de grandeur donnant une valeur brute actualisée des 58 réacteurs de 112 Mds d’euros pour une valeur nette au bilan de 16 Mds d’euros. Ces chiffres n’ont pas pu être vérifiés dans les délais impartis à l’Autorité pour rendre son avis et n’engagent donc qu’EDF. Néanmoins, ils sont particulièrement révélateurs du problème préalable de réévaluation des actifs de production, que les règles de calcul de l’ARB devront prendre en compte. </w:t>
      </w:r>
    </w:p>
    <w:p w:rsidR="00886DA9" w:rsidRDefault="00886DA9" w:rsidP="003E4E90">
      <w:pPr>
        <w:pStyle w:val="Default"/>
        <w:jc w:val="both"/>
        <w:rPr>
          <w:sz w:val="23"/>
          <w:szCs w:val="23"/>
        </w:rPr>
      </w:pPr>
    </w:p>
    <w:p w:rsidR="00886DA9" w:rsidRDefault="00886DA9" w:rsidP="003E4E90">
      <w:pPr>
        <w:pStyle w:val="Default"/>
        <w:jc w:val="both"/>
        <w:rPr>
          <w:sz w:val="23"/>
          <w:szCs w:val="23"/>
        </w:rPr>
      </w:pPr>
      <w:r>
        <w:rPr>
          <w:sz w:val="23"/>
          <w:szCs w:val="23"/>
        </w:rPr>
        <w:lastRenderedPageBreak/>
        <w:t xml:space="preserve">Le projet de loi prévoit que « </w:t>
      </w:r>
      <w:r>
        <w:rPr>
          <w:i/>
          <w:iCs/>
          <w:sz w:val="23"/>
          <w:szCs w:val="23"/>
        </w:rPr>
        <w:t xml:space="preserve">pour apprécier les conditions économiques de production d’électricité par les centrales mentionnées au II, la Commission de régulation de l’énergie se fonde sur des documents permettant d’identifier l’ensemble des coûts exposés dans le périmètre d’activité de ces centrales, selon les méthodes usuelles </w:t>
      </w:r>
      <w:r>
        <w:rPr>
          <w:sz w:val="23"/>
          <w:szCs w:val="23"/>
        </w:rPr>
        <w:t>»</w:t>
      </w:r>
    </w:p>
    <w:p w:rsidR="009F3C0F" w:rsidRDefault="009F3C0F" w:rsidP="003E4E90">
      <w:pPr>
        <w:pStyle w:val="Default"/>
        <w:jc w:val="both"/>
        <w:rPr>
          <w:sz w:val="23"/>
          <w:szCs w:val="23"/>
        </w:rPr>
      </w:pPr>
    </w:p>
    <w:p w:rsidR="009F3C0F" w:rsidRPr="003E4E90" w:rsidRDefault="009F3C0F" w:rsidP="003E4E90">
      <w:pPr>
        <w:pStyle w:val="Default"/>
        <w:jc w:val="both"/>
        <w:rPr>
          <w:b/>
          <w:sz w:val="23"/>
          <w:szCs w:val="23"/>
        </w:rPr>
      </w:pPr>
      <w:r w:rsidRPr="003E4E90">
        <w:rPr>
          <w:b/>
          <w:sz w:val="23"/>
          <w:szCs w:val="23"/>
        </w:rPr>
        <w:t>L’absence d’effet ciseau avec le prix de ses propres ventes</w:t>
      </w:r>
    </w:p>
    <w:p w:rsidR="00387DFE" w:rsidRDefault="00387DFE" w:rsidP="003E4E90">
      <w:pPr>
        <w:pStyle w:val="Default"/>
        <w:jc w:val="both"/>
      </w:pPr>
    </w:p>
    <w:p w:rsidR="00387DFE" w:rsidRDefault="00387DFE" w:rsidP="003E4E90">
      <w:pPr>
        <w:pStyle w:val="Default"/>
        <w:jc w:val="both"/>
        <w:rPr>
          <w:sz w:val="23"/>
          <w:szCs w:val="23"/>
        </w:rPr>
      </w:pPr>
      <w:r>
        <w:rPr>
          <w:sz w:val="23"/>
          <w:szCs w:val="23"/>
        </w:rPr>
        <w:t xml:space="preserve">La possibilité d’un effet de ciseau, entre le coût d’approvisionnement appliqué par EDF pour ses ventes aux tarifs réglementés et le même coût pour les offres des fournisseurs alternatifs, ne devrait pas se poser, à la condition que les prix de vente aux tarifs réglementés correspondent effectivement à l’intégralité des charges supportées par EDF ou le distributeur public local : « </w:t>
      </w:r>
      <w:r>
        <w:rPr>
          <w:i/>
          <w:iCs/>
          <w:sz w:val="23"/>
          <w:szCs w:val="23"/>
        </w:rPr>
        <w:t>Il apparaît en effet difficile de fixer le prix de vente d’une prestation en excluant toute discrimination ou distorsion de concurrence lorsque les coûts composant ce prix ne sont pas préalablement définis de façon objective et complète</w:t>
      </w:r>
      <w:r>
        <w:rPr>
          <w:sz w:val="23"/>
          <w:szCs w:val="23"/>
        </w:rPr>
        <w:t xml:space="preserve">. (…) </w:t>
      </w:r>
      <w:r>
        <w:rPr>
          <w:i/>
          <w:iCs/>
          <w:sz w:val="23"/>
          <w:szCs w:val="23"/>
        </w:rPr>
        <w:t xml:space="preserve">Une rédaction précise et exhaustive de la totalité des coûts à reprendre dans les tarifs est indispensable, afin de disposer de règles objectives et non contestables pour fixer les tarifs réglementés, qui sont seules en mesure de garantir la neutralité de ces tarifs quant à l’exercice de la concurrence sur le marché de la fourniture d’électricité </w:t>
      </w:r>
      <w:r>
        <w:rPr>
          <w:sz w:val="23"/>
          <w:szCs w:val="23"/>
        </w:rPr>
        <w:t xml:space="preserve">» (avis n° 09-A-43, précité). </w:t>
      </w:r>
    </w:p>
    <w:p w:rsidR="00387DFE" w:rsidRDefault="00387DFE" w:rsidP="003E4E90">
      <w:pPr>
        <w:pStyle w:val="Default"/>
        <w:jc w:val="both"/>
      </w:pPr>
    </w:p>
    <w:p w:rsidR="00387DFE" w:rsidRDefault="00387DFE" w:rsidP="003E4E90">
      <w:pPr>
        <w:pStyle w:val="Default"/>
        <w:spacing w:after="147"/>
        <w:jc w:val="both"/>
        <w:rPr>
          <w:sz w:val="23"/>
          <w:szCs w:val="23"/>
        </w:rPr>
      </w:pPr>
      <w:r>
        <w:rPr>
          <w:sz w:val="23"/>
          <w:szCs w:val="23"/>
        </w:rPr>
        <w:t xml:space="preserve">Le projet de loi maintient sans limite dans le temps les tarifs réglementés pour les particuliers et les petits professionnels et introduit deux dispositions favorables à l’exercice de la concurrence. </w:t>
      </w:r>
    </w:p>
    <w:p w:rsidR="00387DFE" w:rsidRDefault="00387DFE" w:rsidP="003E4E90">
      <w:pPr>
        <w:pStyle w:val="Default"/>
        <w:spacing w:after="147"/>
        <w:jc w:val="both"/>
        <w:rPr>
          <w:sz w:val="23"/>
          <w:szCs w:val="23"/>
        </w:rPr>
      </w:pPr>
      <w:r>
        <w:rPr>
          <w:sz w:val="23"/>
          <w:szCs w:val="23"/>
        </w:rPr>
        <w:t xml:space="preserve">159. Le droit de retour aux tarifs réglementés est, d’une part, prorogé sans terme fixé, ni délai de carence de 6 mois, comme dans les textes actuels. Cette disposition permet de faciliter la mobilité des consommateurs d’un fournisseur alternatif à un distributeur public. </w:t>
      </w:r>
    </w:p>
    <w:p w:rsidR="00387DFE" w:rsidRDefault="00387DFE" w:rsidP="003E4E90">
      <w:pPr>
        <w:pStyle w:val="Default"/>
        <w:jc w:val="both"/>
        <w:rPr>
          <w:sz w:val="23"/>
          <w:szCs w:val="23"/>
        </w:rPr>
      </w:pPr>
      <w:r>
        <w:rPr>
          <w:sz w:val="23"/>
          <w:szCs w:val="23"/>
        </w:rPr>
        <w:t>160. D’autre part, les tarifs réglementés seront désormais fixés par l’addition de tous les coûts liés à la fourniture de l’électricité à ce tarif au consommateur final : «</w:t>
      </w:r>
      <w:r>
        <w:rPr>
          <w:i/>
          <w:iCs/>
          <w:sz w:val="23"/>
          <w:szCs w:val="23"/>
        </w:rPr>
        <w:t xml:space="preserve">Dans un délai s’achevant au plus tard le 31 décembre 2015, les tarifs réglementés de vente d'électricité sont progressivement établis en tenant compte de l'addition du prix d'accès régulé à l’électricité de base, du coût du complément à la fourniture d’électricité qui inclut la garantie de capacité, des coûts d'acheminement de l'électricité et des coûts de commercialisation ainsi que d’une rémunération normale </w:t>
      </w:r>
      <w:r>
        <w:rPr>
          <w:sz w:val="23"/>
          <w:szCs w:val="23"/>
        </w:rPr>
        <w:t>».</w:t>
      </w:r>
    </w:p>
    <w:p w:rsidR="00387DFE" w:rsidRDefault="00387DFE" w:rsidP="003E4E90">
      <w:pPr>
        <w:pStyle w:val="Default"/>
        <w:spacing w:after="147"/>
        <w:jc w:val="both"/>
        <w:rPr>
          <w:sz w:val="23"/>
          <w:szCs w:val="23"/>
        </w:rPr>
      </w:pPr>
    </w:p>
    <w:p w:rsidR="00387DFE" w:rsidRDefault="00387DFE" w:rsidP="003E4E90">
      <w:pPr>
        <w:pStyle w:val="Default"/>
        <w:spacing w:after="147"/>
        <w:jc w:val="both"/>
        <w:rPr>
          <w:sz w:val="23"/>
          <w:szCs w:val="23"/>
        </w:rPr>
      </w:pPr>
      <w:r>
        <w:rPr>
          <w:sz w:val="23"/>
          <w:szCs w:val="23"/>
        </w:rPr>
        <w:t xml:space="preserve">Cette règle de calcul des tarifs réglementés s’avère indispensable pour garantir la neutralité de ces tarifs quant aux conditions de concurrence entre les fournisseurs, mais son efficacité est amoindrie en différant son application de quasiment 5 ans. </w:t>
      </w:r>
    </w:p>
    <w:p w:rsidR="00387DFE" w:rsidRDefault="00387DFE" w:rsidP="003E4E90">
      <w:pPr>
        <w:pStyle w:val="Default"/>
        <w:spacing w:after="147"/>
        <w:jc w:val="both"/>
        <w:rPr>
          <w:sz w:val="23"/>
          <w:szCs w:val="23"/>
        </w:rPr>
      </w:pPr>
      <w:r>
        <w:rPr>
          <w:sz w:val="23"/>
          <w:szCs w:val="23"/>
        </w:rPr>
        <w:t xml:space="preserve">162. Dans l’intervalle, le prix proposé aux consommateurs par les fournisseurs alternatifs devra s’établir entre un plancher, constitué par leur coût d’approvisionnement en électricité régulée, et un plafond, représenté par le prix de vente aux tarifs bleus, sauf à ce que ces fournisseurs acceptent de supporter des pertes. Il sera donc difficile, au moins jusqu’à la fin de 2015, aux fournisseurs alternatifs de concurrencer frontalement les tarifs réglementés dans leurs offres commerciales aux particuliers et petits professionnels. </w:t>
      </w:r>
    </w:p>
    <w:p w:rsidR="00387DFE" w:rsidRDefault="00387DFE" w:rsidP="003E4E90">
      <w:pPr>
        <w:pStyle w:val="Default"/>
        <w:jc w:val="both"/>
        <w:rPr>
          <w:sz w:val="23"/>
          <w:szCs w:val="23"/>
        </w:rPr>
      </w:pPr>
      <w:r>
        <w:rPr>
          <w:sz w:val="23"/>
          <w:szCs w:val="23"/>
        </w:rPr>
        <w:t xml:space="preserve">163. </w:t>
      </w:r>
      <w:r w:rsidRPr="00387DFE">
        <w:rPr>
          <w:b/>
          <w:sz w:val="23"/>
          <w:szCs w:val="23"/>
        </w:rPr>
        <w:t>L’Autorité ne peut que recommander au gouvernement de réduire au maximum la durée de la période de transition ouverte par le projet de loi, ou à défaut de rapprocher progressivement d’ici 2015 le niveau des tarifs réglementés des coûts supportés par leurs fournisseurs.</w:t>
      </w:r>
      <w:r>
        <w:rPr>
          <w:sz w:val="23"/>
          <w:szCs w:val="23"/>
        </w:rPr>
        <w:t xml:space="preserve"> </w:t>
      </w:r>
    </w:p>
    <w:p w:rsidR="00387DFE" w:rsidRDefault="00387DFE" w:rsidP="003E4E90">
      <w:pPr>
        <w:pStyle w:val="Default"/>
        <w:jc w:val="both"/>
        <w:rPr>
          <w:sz w:val="23"/>
          <w:szCs w:val="23"/>
        </w:rPr>
      </w:pPr>
      <w:r>
        <w:rPr>
          <w:sz w:val="23"/>
          <w:szCs w:val="23"/>
        </w:rPr>
        <w:t xml:space="preserve"> </w:t>
      </w:r>
    </w:p>
    <w:p w:rsidR="009F3C0F" w:rsidRDefault="00387DFE" w:rsidP="003E4E90">
      <w:pPr>
        <w:pStyle w:val="Default"/>
        <w:jc w:val="both"/>
        <w:rPr>
          <w:b/>
          <w:sz w:val="23"/>
          <w:szCs w:val="23"/>
        </w:rPr>
      </w:pPr>
      <w:r w:rsidRPr="00387DFE">
        <w:rPr>
          <w:b/>
          <w:sz w:val="23"/>
          <w:szCs w:val="23"/>
        </w:rPr>
        <w:t>Le mécanisme de complément de prix</w:t>
      </w:r>
    </w:p>
    <w:p w:rsidR="00387DFE" w:rsidRDefault="00387DFE" w:rsidP="003E4E90">
      <w:pPr>
        <w:pStyle w:val="Default"/>
        <w:jc w:val="both"/>
      </w:pPr>
    </w:p>
    <w:p w:rsidR="00387DFE" w:rsidRDefault="00387DFE" w:rsidP="003E4E90">
      <w:pPr>
        <w:pStyle w:val="Default"/>
        <w:jc w:val="both"/>
        <w:rPr>
          <w:sz w:val="23"/>
          <w:szCs w:val="23"/>
        </w:rPr>
      </w:pPr>
      <w:r>
        <w:rPr>
          <w:sz w:val="23"/>
          <w:szCs w:val="23"/>
        </w:rPr>
        <w:t xml:space="preserve">Le projet de loi dispose que le fournisseur revendant de l’électricité régulée pour un autre usage que la livraison d’un consommateur final doit payer, à EDF, un « </w:t>
      </w:r>
      <w:r>
        <w:rPr>
          <w:i/>
          <w:iCs/>
          <w:sz w:val="23"/>
          <w:szCs w:val="23"/>
        </w:rPr>
        <w:t xml:space="preserve">complément de prix </w:t>
      </w:r>
      <w:r>
        <w:rPr>
          <w:sz w:val="23"/>
          <w:szCs w:val="23"/>
        </w:rPr>
        <w:t xml:space="preserve">», qui est égal à la différence entre le prix constaté sur le marché de gros et le prix de l’ARB pour le volume d’électricité en cause. Il s’inspire, sur ce point également, du remède mis en place par le Conseil de la concurrence en 2007. </w:t>
      </w:r>
    </w:p>
    <w:p w:rsidR="00387DFE" w:rsidRDefault="00387DFE" w:rsidP="003E4E90">
      <w:pPr>
        <w:pStyle w:val="Default"/>
        <w:jc w:val="both"/>
      </w:pPr>
    </w:p>
    <w:p w:rsidR="00387DFE" w:rsidRDefault="00387DFE" w:rsidP="003E4E90">
      <w:pPr>
        <w:pStyle w:val="Default"/>
        <w:jc w:val="both"/>
        <w:rPr>
          <w:sz w:val="23"/>
          <w:szCs w:val="23"/>
        </w:rPr>
      </w:pPr>
      <w:r>
        <w:rPr>
          <w:sz w:val="23"/>
          <w:szCs w:val="23"/>
        </w:rPr>
        <w:t xml:space="preserve">Nonobstant le renvoi prévu à un décret d’application, plusieurs conditions indispensables à la mise en </w:t>
      </w:r>
      <w:proofErr w:type="spellStart"/>
      <w:r>
        <w:rPr>
          <w:sz w:val="23"/>
          <w:szCs w:val="23"/>
        </w:rPr>
        <w:t>oeuvre</w:t>
      </w:r>
      <w:proofErr w:type="spellEnd"/>
      <w:r>
        <w:rPr>
          <w:sz w:val="23"/>
          <w:szCs w:val="23"/>
        </w:rPr>
        <w:t xml:space="preserve"> du complément de prix apparaissent imparfaitement réglées dans le projet de loi </w:t>
      </w:r>
    </w:p>
    <w:p w:rsidR="00387DFE" w:rsidRDefault="00387DFE" w:rsidP="003E4E90">
      <w:pPr>
        <w:pStyle w:val="Default"/>
        <w:jc w:val="both"/>
      </w:pPr>
    </w:p>
    <w:p w:rsidR="00387DFE" w:rsidRDefault="00387DFE" w:rsidP="003E4E90">
      <w:pPr>
        <w:pStyle w:val="Default"/>
        <w:jc w:val="both"/>
        <w:rPr>
          <w:sz w:val="23"/>
          <w:szCs w:val="23"/>
        </w:rPr>
      </w:pPr>
      <w:r w:rsidRPr="00387DFE">
        <w:rPr>
          <w:b/>
          <w:sz w:val="23"/>
          <w:szCs w:val="23"/>
        </w:rPr>
        <w:t>L’Autorité considère ainsi que le projet de loi devrait indiquer la périodicité de paiement du complément de prix, et estime que le mois ou le trimestre constituerait une référence maximale, étant donné la saisonnalité marquée de la consommation d’électricité</w:t>
      </w:r>
      <w:r>
        <w:rPr>
          <w:sz w:val="23"/>
          <w:szCs w:val="23"/>
        </w:rPr>
        <w:t xml:space="preserve">. </w:t>
      </w:r>
    </w:p>
    <w:p w:rsidR="00387DFE" w:rsidRPr="00387DFE" w:rsidRDefault="00387DFE" w:rsidP="003E4E90">
      <w:pPr>
        <w:pStyle w:val="Default"/>
        <w:jc w:val="both"/>
        <w:rPr>
          <w:b/>
          <w:sz w:val="23"/>
          <w:szCs w:val="23"/>
        </w:rPr>
      </w:pPr>
    </w:p>
    <w:p w:rsidR="00387DFE" w:rsidRDefault="00387DFE" w:rsidP="003E4E90">
      <w:pPr>
        <w:pStyle w:val="Default"/>
        <w:jc w:val="both"/>
        <w:rPr>
          <w:sz w:val="23"/>
          <w:szCs w:val="23"/>
        </w:rPr>
      </w:pPr>
    </w:p>
    <w:p w:rsidR="00387DFE" w:rsidRDefault="00387DFE" w:rsidP="003E4E90">
      <w:pPr>
        <w:pStyle w:val="Default"/>
        <w:jc w:val="both"/>
      </w:pPr>
    </w:p>
    <w:p w:rsidR="00387DFE" w:rsidRDefault="00387DFE" w:rsidP="003E4E90">
      <w:pPr>
        <w:pStyle w:val="Default"/>
        <w:jc w:val="both"/>
        <w:rPr>
          <w:sz w:val="23"/>
          <w:szCs w:val="23"/>
        </w:rPr>
      </w:pPr>
      <w:r>
        <w:rPr>
          <w:sz w:val="23"/>
          <w:szCs w:val="23"/>
        </w:rPr>
        <w:t xml:space="preserve">Le mécanisme de complément de prix comporte aussi un dispositif implicite de sanction, en cas de demande par un fournisseur de quantités d’électricité régulée trop importantes, par rapport à ses ventes aux clients effectivement réalisées : « [Le complément de prix] </w:t>
      </w:r>
      <w:r>
        <w:rPr>
          <w:i/>
          <w:iCs/>
          <w:sz w:val="23"/>
          <w:szCs w:val="23"/>
        </w:rPr>
        <w:t xml:space="preserve">tient également compte de l’ampleur de l’écart entre la prévision initialement faite par le fournisseur et la consommation constatée de ses clients finals sur le territoire métropolitain continental </w:t>
      </w:r>
      <w:r>
        <w:rPr>
          <w:sz w:val="23"/>
          <w:szCs w:val="23"/>
        </w:rPr>
        <w:t xml:space="preserve">». </w:t>
      </w:r>
    </w:p>
    <w:p w:rsidR="00955B98" w:rsidRDefault="00955B98" w:rsidP="003E4E90">
      <w:pPr>
        <w:pStyle w:val="Default"/>
        <w:jc w:val="both"/>
      </w:pPr>
    </w:p>
    <w:p w:rsidR="00955B98" w:rsidRDefault="00955B98" w:rsidP="003E4E90">
      <w:pPr>
        <w:pStyle w:val="Default"/>
        <w:jc w:val="both"/>
        <w:rPr>
          <w:sz w:val="23"/>
          <w:szCs w:val="23"/>
        </w:rPr>
      </w:pPr>
      <w:r>
        <w:rPr>
          <w:sz w:val="23"/>
          <w:szCs w:val="23"/>
        </w:rPr>
        <w:t xml:space="preserve">Le paiement du complément de prix majoré à EDF apparaît très contestable au regard de l’exercice de la concurrence. Dans cette hypothèse, le fournisseur alternatif verserait en effet à EDF, la différence entre le prix payé pour l’électricité régulée et le prix obtenu par la revente de cette quantité d’électricité régulée sur le marché de gros, à laquelle s’ajouterait le complément de prix majoré. Cette marge supplémentaire payée par le fournisseur n’est pas justifiée, et constituerait un bénéfice exceptionnel pour EDF aux dépens du fournisseur alternatif. </w:t>
      </w:r>
    </w:p>
    <w:p w:rsidR="00955B98" w:rsidRDefault="00955B98" w:rsidP="003E4E90">
      <w:pPr>
        <w:pStyle w:val="Default"/>
        <w:jc w:val="both"/>
        <w:rPr>
          <w:sz w:val="23"/>
          <w:szCs w:val="23"/>
        </w:rPr>
      </w:pPr>
    </w:p>
    <w:p w:rsidR="00955B98" w:rsidRPr="00955B98" w:rsidRDefault="00955B98" w:rsidP="003E4E90">
      <w:pPr>
        <w:pStyle w:val="Default"/>
        <w:jc w:val="both"/>
        <w:rPr>
          <w:b/>
          <w:sz w:val="23"/>
          <w:szCs w:val="23"/>
        </w:rPr>
      </w:pPr>
      <w:r w:rsidRPr="00955B98">
        <w:rPr>
          <w:b/>
          <w:sz w:val="23"/>
          <w:szCs w:val="23"/>
        </w:rPr>
        <w:t>Obligation de Capacité et marché de capacité</w:t>
      </w:r>
    </w:p>
    <w:p w:rsidR="00955B98" w:rsidRDefault="00955B98" w:rsidP="003E4E90">
      <w:pPr>
        <w:pStyle w:val="Default"/>
        <w:jc w:val="both"/>
      </w:pPr>
    </w:p>
    <w:p w:rsidR="00955B98" w:rsidRDefault="00955B98" w:rsidP="003E4E90">
      <w:pPr>
        <w:pStyle w:val="Default"/>
        <w:jc w:val="both"/>
        <w:rPr>
          <w:sz w:val="23"/>
          <w:szCs w:val="23"/>
        </w:rPr>
      </w:pPr>
      <w:r>
        <w:rPr>
          <w:sz w:val="23"/>
          <w:szCs w:val="23"/>
        </w:rPr>
        <w:t xml:space="preserve">L’article 2 du projet de loi crée une incitation pour les fournisseurs à investir dans la production, qui prend la forme d’une obligation pour tout fournisseur d’électricité actif sur le marché national de disposer de « </w:t>
      </w:r>
      <w:r>
        <w:rPr>
          <w:i/>
          <w:iCs/>
          <w:sz w:val="23"/>
          <w:szCs w:val="23"/>
        </w:rPr>
        <w:t xml:space="preserve">garanties directes ou indirectes de capacités d’effacement de consommation ou de production d’électricité pouvant être mises en </w:t>
      </w:r>
      <w:proofErr w:type="spellStart"/>
      <w:r>
        <w:rPr>
          <w:i/>
          <w:iCs/>
          <w:sz w:val="23"/>
          <w:szCs w:val="23"/>
        </w:rPr>
        <w:t>oeuvre</w:t>
      </w:r>
      <w:proofErr w:type="spellEnd"/>
      <w:r>
        <w:rPr>
          <w:i/>
          <w:iCs/>
          <w:sz w:val="23"/>
          <w:szCs w:val="23"/>
        </w:rPr>
        <w:t xml:space="preserve"> pour satisfaire l’équilibre entre la production et la consommation sur le territoire métropolitain continental </w:t>
      </w:r>
      <w:r>
        <w:rPr>
          <w:sz w:val="23"/>
          <w:szCs w:val="23"/>
        </w:rPr>
        <w:t xml:space="preserve">». La réalité de ces garanties est attestée par un contrat de certification conclu par chaque fournisseur avec RTE. </w:t>
      </w:r>
    </w:p>
    <w:p w:rsidR="00955B98" w:rsidRDefault="00955B98" w:rsidP="003E4E90">
      <w:pPr>
        <w:pStyle w:val="Default"/>
        <w:jc w:val="both"/>
        <w:rPr>
          <w:sz w:val="23"/>
          <w:szCs w:val="23"/>
        </w:rPr>
      </w:pPr>
    </w:p>
    <w:p w:rsidR="00955B98" w:rsidRDefault="00955B98" w:rsidP="003E4E90">
      <w:pPr>
        <w:pStyle w:val="Default"/>
        <w:jc w:val="both"/>
      </w:pPr>
      <w:r>
        <w:rPr>
          <w:sz w:val="23"/>
          <w:szCs w:val="23"/>
        </w:rPr>
        <w:t xml:space="preserve">Le fournisseur ne disposant pas des garanties de capacité à hauteur des volumes d’électricité qu’il vend, ne satisferait pas l’obligation fixée par l’article 2 et fera l’objet d’une sanction administrative pécuniaire prononcée par le comité de règlement des différends de la CRE. </w:t>
      </w:r>
    </w:p>
    <w:p w:rsidR="00955B98" w:rsidRDefault="00955B98" w:rsidP="003E4E90">
      <w:pPr>
        <w:pStyle w:val="Default"/>
        <w:spacing w:after="147"/>
        <w:jc w:val="both"/>
        <w:rPr>
          <w:sz w:val="23"/>
          <w:szCs w:val="23"/>
        </w:rPr>
      </w:pPr>
    </w:p>
    <w:p w:rsidR="00955B98" w:rsidRDefault="00955B98" w:rsidP="003E4E90">
      <w:pPr>
        <w:pStyle w:val="Default"/>
        <w:spacing w:after="147"/>
        <w:jc w:val="both"/>
        <w:rPr>
          <w:sz w:val="23"/>
          <w:szCs w:val="23"/>
        </w:rPr>
      </w:pPr>
      <w:r>
        <w:rPr>
          <w:sz w:val="23"/>
          <w:szCs w:val="23"/>
        </w:rPr>
        <w:t xml:space="preserve">Le lien ainsi établi entre l’obligation de capacité et le niveau des ventes réalisées, que complète le caractère « échangeable » reconnu par le texte aux certificats, introduit un mécanisme de marché incitant les fournisseurs d’électricité à investir dans la production. Cette incitation à l’investissement privilégie les investissements des opérateurs dans les moyens de production de pointe. </w:t>
      </w:r>
    </w:p>
    <w:p w:rsidR="00955B98" w:rsidRDefault="00955B98" w:rsidP="003E4E90">
      <w:pPr>
        <w:pStyle w:val="Default"/>
        <w:jc w:val="both"/>
        <w:rPr>
          <w:sz w:val="23"/>
          <w:szCs w:val="23"/>
        </w:rPr>
      </w:pPr>
      <w:r>
        <w:rPr>
          <w:sz w:val="23"/>
          <w:szCs w:val="23"/>
        </w:rPr>
        <w:t xml:space="preserve">la détention actuelle par EDF de l’essentiel des moyens de production en électricité de base l’a conduite à conclure des accords d'échange de blocs d'électricité de base contre des blocs d’électricité de pointe, avec de nouveaux entrants dans l’activité de production. De tels accords sont justifiés, par la volonté partagée des deux entreprises d’optimiser leurs dépenses d’investissement. Mais ils comportent le risque pour la concurrence de créer des liens structurels, et à long terme, entre des entreprises en concurrence. Ces accords demanderont également à être regardés avec une grande vigilance de la part des autorités de concurrence. </w:t>
      </w:r>
    </w:p>
    <w:p w:rsidR="00955B98" w:rsidRDefault="00955B98" w:rsidP="003E4E90">
      <w:pPr>
        <w:pStyle w:val="Default"/>
        <w:jc w:val="both"/>
        <w:rPr>
          <w:sz w:val="23"/>
          <w:szCs w:val="23"/>
        </w:rPr>
      </w:pPr>
    </w:p>
    <w:p w:rsidR="00955B98" w:rsidRPr="00955B98" w:rsidRDefault="00955B98" w:rsidP="003E4E90">
      <w:pPr>
        <w:pStyle w:val="Default"/>
        <w:jc w:val="both"/>
        <w:rPr>
          <w:b/>
          <w:sz w:val="23"/>
          <w:szCs w:val="23"/>
        </w:rPr>
      </w:pPr>
      <w:r w:rsidRPr="00955B98">
        <w:rPr>
          <w:b/>
          <w:sz w:val="23"/>
          <w:szCs w:val="23"/>
        </w:rPr>
        <w:t xml:space="preserve">Incitation </w:t>
      </w:r>
      <w:proofErr w:type="gramStart"/>
      <w:r w:rsidRPr="00955B98">
        <w:rPr>
          <w:b/>
          <w:sz w:val="23"/>
          <w:szCs w:val="23"/>
        </w:rPr>
        <w:t>a</w:t>
      </w:r>
      <w:proofErr w:type="gramEnd"/>
      <w:r w:rsidRPr="00955B98">
        <w:rPr>
          <w:b/>
          <w:sz w:val="23"/>
          <w:szCs w:val="23"/>
        </w:rPr>
        <w:t xml:space="preserve"> investir en moyens de Base</w:t>
      </w:r>
    </w:p>
    <w:p w:rsidR="003E4E90" w:rsidRDefault="003E4E90" w:rsidP="003E4E90">
      <w:pPr>
        <w:pStyle w:val="Default"/>
        <w:jc w:val="both"/>
      </w:pPr>
    </w:p>
    <w:p w:rsidR="003E4E90" w:rsidRDefault="003E4E90" w:rsidP="003E4E90">
      <w:pPr>
        <w:pStyle w:val="Default"/>
        <w:spacing w:after="147"/>
        <w:jc w:val="both"/>
        <w:rPr>
          <w:sz w:val="23"/>
          <w:szCs w:val="23"/>
        </w:rPr>
      </w:pPr>
      <w:r>
        <w:rPr>
          <w:sz w:val="23"/>
          <w:szCs w:val="23"/>
        </w:rPr>
        <w:t xml:space="preserve">Le dispositif ARB assure aux fournisseurs alternatifs un volume d’électricité de base de l’ordre de 20 à 30 % de la consommation nationale, à un prix hors marché fixé par les pouvoirs publics, et pour une période de 15 années. </w:t>
      </w:r>
    </w:p>
    <w:p w:rsidR="003E4E90" w:rsidRDefault="003E4E90" w:rsidP="003E4E90">
      <w:pPr>
        <w:pStyle w:val="Default"/>
        <w:jc w:val="both"/>
        <w:rPr>
          <w:sz w:val="23"/>
          <w:szCs w:val="23"/>
        </w:rPr>
      </w:pPr>
      <w:r>
        <w:rPr>
          <w:sz w:val="23"/>
          <w:szCs w:val="23"/>
        </w:rPr>
        <w:t>205. Les fournisseurs alternatifs devront donc produire leurs besoins en électricité de pointe pour fournir leurs clients et/ou les acheter sur le marché de gros. En revanche, ils n’ont aucune incitation à investir dans des capacités de production de base.</w:t>
      </w:r>
    </w:p>
    <w:p w:rsidR="003E4E90" w:rsidRDefault="003E4E90" w:rsidP="003E4E90">
      <w:pPr>
        <w:pStyle w:val="Default"/>
        <w:jc w:val="both"/>
      </w:pPr>
    </w:p>
    <w:p w:rsidR="003E4E90" w:rsidRDefault="003E4E90" w:rsidP="003E4E90">
      <w:pPr>
        <w:pStyle w:val="Default"/>
        <w:jc w:val="both"/>
        <w:rPr>
          <w:sz w:val="23"/>
          <w:szCs w:val="23"/>
        </w:rPr>
      </w:pPr>
      <w:r>
        <w:rPr>
          <w:sz w:val="23"/>
          <w:szCs w:val="23"/>
        </w:rPr>
        <w:t xml:space="preserve">Faute de l’émergence de véritables opérateurs intégrés présents au stade de la vente au consommateur, la production de pointe et la production de base, la situation de marché pourrait ne pas avoir véritablement changé à l’échéance du dispositif ARB par rapport à aujourd’hui. La majeure partie des capacités de production d’électricité de base resterait détenue par EDF, tandis que les fournisseurs alternatifs seraient surtout présents sur la vente au détail au consommateur final et la production d’électricité de pointe. La probabilité d’une demande de prolongation du dispositif ARB serait alors élevée. </w:t>
      </w:r>
    </w:p>
    <w:p w:rsidR="003E4E90" w:rsidRDefault="003E4E90" w:rsidP="003E4E90">
      <w:pPr>
        <w:pStyle w:val="Default"/>
        <w:jc w:val="both"/>
        <w:rPr>
          <w:sz w:val="23"/>
          <w:szCs w:val="23"/>
        </w:rPr>
      </w:pPr>
      <w:r>
        <w:rPr>
          <w:sz w:val="23"/>
          <w:szCs w:val="23"/>
        </w:rPr>
        <w:t xml:space="preserve">212. En conséquence, une incitation à l’investissement dans la production de base doit aussi être favorisée par le projet de loi. </w:t>
      </w:r>
    </w:p>
    <w:p w:rsidR="003E4E90" w:rsidRDefault="003E4E90" w:rsidP="003E4E90">
      <w:pPr>
        <w:pStyle w:val="Default"/>
        <w:jc w:val="both"/>
        <w:rPr>
          <w:sz w:val="23"/>
          <w:szCs w:val="23"/>
        </w:rPr>
      </w:pPr>
      <w:r>
        <w:rPr>
          <w:sz w:val="23"/>
          <w:szCs w:val="23"/>
        </w:rPr>
        <w:t xml:space="preserve"> </w:t>
      </w:r>
    </w:p>
    <w:p w:rsidR="00955B98" w:rsidRDefault="00955B98" w:rsidP="003E4E90">
      <w:pPr>
        <w:pStyle w:val="Default"/>
        <w:jc w:val="both"/>
        <w:rPr>
          <w:sz w:val="23"/>
          <w:szCs w:val="23"/>
        </w:rPr>
      </w:pPr>
    </w:p>
    <w:p w:rsidR="00955B98" w:rsidRDefault="003E4E90" w:rsidP="003E4E90">
      <w:pPr>
        <w:pStyle w:val="Default"/>
        <w:jc w:val="both"/>
        <w:rPr>
          <w:b/>
          <w:sz w:val="23"/>
          <w:szCs w:val="23"/>
        </w:rPr>
      </w:pPr>
      <w:proofErr w:type="spellStart"/>
      <w:r w:rsidRPr="003E4E90">
        <w:rPr>
          <w:b/>
          <w:sz w:val="23"/>
          <w:szCs w:val="23"/>
        </w:rPr>
        <w:t>Mecanismes</w:t>
      </w:r>
      <w:proofErr w:type="spellEnd"/>
      <w:r w:rsidRPr="003E4E90">
        <w:rPr>
          <w:b/>
          <w:sz w:val="23"/>
          <w:szCs w:val="23"/>
        </w:rPr>
        <w:t xml:space="preserve"> transitoires</w:t>
      </w:r>
      <w:r>
        <w:rPr>
          <w:b/>
          <w:sz w:val="23"/>
          <w:szCs w:val="23"/>
        </w:rPr>
        <w:t xml:space="preserve"> : </w:t>
      </w:r>
      <w:proofErr w:type="spellStart"/>
      <w:r>
        <w:rPr>
          <w:b/>
          <w:sz w:val="23"/>
          <w:szCs w:val="23"/>
        </w:rPr>
        <w:t>Trtam</w:t>
      </w:r>
      <w:proofErr w:type="spellEnd"/>
      <w:r>
        <w:rPr>
          <w:b/>
          <w:sz w:val="23"/>
          <w:szCs w:val="23"/>
        </w:rPr>
        <w:t xml:space="preserve"> et contrats entre </w:t>
      </w:r>
      <w:proofErr w:type="spellStart"/>
      <w:r>
        <w:rPr>
          <w:b/>
          <w:sz w:val="23"/>
          <w:szCs w:val="23"/>
        </w:rPr>
        <w:t>EdF</w:t>
      </w:r>
      <w:proofErr w:type="spellEnd"/>
      <w:r>
        <w:rPr>
          <w:b/>
          <w:sz w:val="23"/>
          <w:szCs w:val="23"/>
        </w:rPr>
        <w:t xml:space="preserve"> et </w:t>
      </w:r>
      <w:proofErr w:type="spellStart"/>
      <w:r>
        <w:rPr>
          <w:b/>
          <w:sz w:val="23"/>
          <w:szCs w:val="23"/>
        </w:rPr>
        <w:t>fourniseurs</w:t>
      </w:r>
      <w:proofErr w:type="spellEnd"/>
    </w:p>
    <w:p w:rsidR="003E4E90" w:rsidRPr="003E4E90" w:rsidRDefault="003E4E90" w:rsidP="003E4E90">
      <w:pPr>
        <w:pStyle w:val="Default"/>
        <w:jc w:val="both"/>
        <w:rPr>
          <w:b/>
          <w:sz w:val="23"/>
          <w:szCs w:val="23"/>
        </w:rPr>
      </w:pPr>
    </w:p>
    <w:p w:rsidR="003E4E90" w:rsidRDefault="003E4E90" w:rsidP="003E4E90">
      <w:pPr>
        <w:pStyle w:val="Default"/>
        <w:jc w:val="both"/>
        <w:rPr>
          <w:sz w:val="23"/>
          <w:szCs w:val="23"/>
        </w:rPr>
      </w:pPr>
      <w:proofErr w:type="spellStart"/>
      <w:r>
        <w:rPr>
          <w:sz w:val="23"/>
          <w:szCs w:val="23"/>
        </w:rPr>
        <w:t>Trtam</w:t>
      </w:r>
      <w:proofErr w:type="spellEnd"/>
      <w:r>
        <w:rPr>
          <w:sz w:val="23"/>
          <w:szCs w:val="23"/>
        </w:rPr>
        <w:t xml:space="preserve"> n’est pas compatible avec </w:t>
      </w:r>
      <w:proofErr w:type="gramStart"/>
      <w:r>
        <w:rPr>
          <w:sz w:val="23"/>
          <w:szCs w:val="23"/>
        </w:rPr>
        <w:t>le ARB</w:t>
      </w:r>
      <w:proofErr w:type="gramEnd"/>
      <w:r>
        <w:rPr>
          <w:sz w:val="23"/>
          <w:szCs w:val="23"/>
        </w:rPr>
        <w:t xml:space="preserve"> (Un cumul des deux dispositifs n’apparaît pas concevable, au vu de l’ampleur de la production d’EDF qui serait alors, soumise à un contrôle public de son usage et de la perte de contrôle induite pour EDF sur sa politique commerciale et ses prix. </w:t>
      </w:r>
    </w:p>
    <w:p w:rsidR="003E4E90" w:rsidRDefault="003E4E90" w:rsidP="003E4E90">
      <w:pPr>
        <w:pStyle w:val="Default"/>
        <w:spacing w:after="147"/>
        <w:jc w:val="both"/>
        <w:rPr>
          <w:sz w:val="23"/>
          <w:szCs w:val="23"/>
        </w:rPr>
      </w:pPr>
    </w:p>
    <w:p w:rsidR="003E4E90" w:rsidRDefault="003E4E90" w:rsidP="003E4E90">
      <w:pPr>
        <w:pStyle w:val="Default"/>
        <w:spacing w:after="147"/>
        <w:jc w:val="both"/>
        <w:rPr>
          <w:sz w:val="23"/>
          <w:szCs w:val="23"/>
        </w:rPr>
      </w:pPr>
      <w:r>
        <w:rPr>
          <w:sz w:val="23"/>
          <w:szCs w:val="23"/>
        </w:rPr>
        <w:t xml:space="preserve">221. S’agissant des contrats d’approvisionnement conclus entre EDF et des fournisseurs alternatifs au titre de la décision n° 07-D-43, du Conseil de la concurrence, les fournisseurs doivent être libres d’arbitrer à leur convenance entre la poursuite de ces contrats et une fourniture ARB. </w:t>
      </w:r>
    </w:p>
    <w:p w:rsidR="003E4E90" w:rsidRDefault="003E4E90" w:rsidP="003E4E90">
      <w:pPr>
        <w:pStyle w:val="Default"/>
        <w:jc w:val="both"/>
        <w:rPr>
          <w:sz w:val="23"/>
          <w:szCs w:val="23"/>
        </w:rPr>
      </w:pPr>
      <w:r>
        <w:rPr>
          <w:sz w:val="23"/>
          <w:szCs w:val="23"/>
        </w:rPr>
        <w:t xml:space="preserve">222. Le projet de loi doit ainsi être complété par une clause permettant, au besoin, aux fournisseurs engagés avec EDF de dénoncer le contrat résultant de la décision n° 07-D-43, sans encourir des pénalités pour rupture unilatérale ou fautive. </w:t>
      </w:r>
    </w:p>
    <w:p w:rsidR="003E4E90" w:rsidRDefault="003E4E90" w:rsidP="003E4E90">
      <w:pPr>
        <w:pStyle w:val="Default"/>
        <w:jc w:val="both"/>
        <w:rPr>
          <w:sz w:val="23"/>
          <w:szCs w:val="23"/>
        </w:rPr>
      </w:pPr>
    </w:p>
    <w:p w:rsidR="00955B98" w:rsidRDefault="00955B98" w:rsidP="003E4E90">
      <w:pPr>
        <w:pStyle w:val="Default"/>
        <w:spacing w:after="147"/>
        <w:jc w:val="both"/>
        <w:rPr>
          <w:sz w:val="23"/>
          <w:szCs w:val="23"/>
        </w:rPr>
      </w:pPr>
    </w:p>
    <w:p w:rsidR="00955B98" w:rsidRDefault="00955B98" w:rsidP="003E4E90">
      <w:pPr>
        <w:pStyle w:val="Default"/>
        <w:jc w:val="both"/>
        <w:rPr>
          <w:sz w:val="23"/>
          <w:szCs w:val="23"/>
        </w:rPr>
      </w:pPr>
    </w:p>
    <w:p w:rsidR="00955B98" w:rsidRDefault="00955B98" w:rsidP="003E4E90">
      <w:pPr>
        <w:pStyle w:val="Default"/>
        <w:jc w:val="both"/>
        <w:rPr>
          <w:sz w:val="23"/>
          <w:szCs w:val="23"/>
        </w:rPr>
      </w:pPr>
    </w:p>
    <w:p w:rsidR="00886DA9" w:rsidRDefault="00886DA9" w:rsidP="003E4E90">
      <w:pPr>
        <w:pStyle w:val="Default"/>
        <w:jc w:val="both"/>
        <w:rPr>
          <w:sz w:val="23"/>
          <w:szCs w:val="23"/>
        </w:rPr>
      </w:pPr>
    </w:p>
    <w:p w:rsidR="003F7DAC" w:rsidRDefault="003F7DAC" w:rsidP="003E4E90">
      <w:pPr>
        <w:jc w:val="both"/>
      </w:pPr>
    </w:p>
    <w:p w:rsidR="00886DA9" w:rsidRDefault="00886DA9" w:rsidP="003E4E90">
      <w:pPr>
        <w:jc w:val="both"/>
      </w:pPr>
    </w:p>
    <w:sectPr w:rsidR="00886DA9" w:rsidSect="00E97FC8">
      <w:pgSz w:w="11906" w:h="17338"/>
      <w:pgMar w:top="1965" w:right="843" w:bottom="765" w:left="119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773E3"/>
    <w:multiLevelType w:val="hybridMultilevel"/>
    <w:tmpl w:val="52FAA95E"/>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nsid w:val="5A6E76DF"/>
    <w:multiLevelType w:val="hybridMultilevel"/>
    <w:tmpl w:val="4B7C38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BA2B3F"/>
    <w:multiLevelType w:val="hybridMultilevel"/>
    <w:tmpl w:val="B79C8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hyphenationZone w:val="425"/>
  <w:characterSpacingControl w:val="doNotCompress"/>
  <w:compat/>
  <w:rsids>
    <w:rsidRoot w:val="004212C9"/>
    <w:rsid w:val="00141239"/>
    <w:rsid w:val="002F1173"/>
    <w:rsid w:val="00387DFE"/>
    <w:rsid w:val="003E4E90"/>
    <w:rsid w:val="003F7DAC"/>
    <w:rsid w:val="004212C9"/>
    <w:rsid w:val="005911D5"/>
    <w:rsid w:val="00655F59"/>
    <w:rsid w:val="006E65CD"/>
    <w:rsid w:val="00861956"/>
    <w:rsid w:val="00886DA9"/>
    <w:rsid w:val="00901AF0"/>
    <w:rsid w:val="00955B98"/>
    <w:rsid w:val="009F3C0F"/>
    <w:rsid w:val="00B5136F"/>
    <w:rsid w:val="00C13DC8"/>
    <w:rsid w:val="00CA7AEB"/>
    <w:rsid w:val="00CE3523"/>
    <w:rsid w:val="00D5233D"/>
    <w:rsid w:val="00D86194"/>
    <w:rsid w:val="00DD1E23"/>
    <w:rsid w:val="00E97FC8"/>
    <w:rsid w:val="00F50DF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1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212C9"/>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1412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10</Pages>
  <Words>5556</Words>
  <Characters>30558</Characters>
  <Application>Microsoft Office Word</Application>
  <DocSecurity>0</DocSecurity>
  <Lines>254</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7</cp:revision>
  <dcterms:created xsi:type="dcterms:W3CDTF">2010-06-10T14:33:00Z</dcterms:created>
  <dcterms:modified xsi:type="dcterms:W3CDTF">2010-06-15T08:16:00Z</dcterms:modified>
</cp:coreProperties>
</file>