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29D" w:rsidRDefault="0046729D"/>
    <w:p w:rsidR="0046729D" w:rsidRPr="001556CA" w:rsidRDefault="0046729D">
      <w:pPr>
        <w:rPr>
          <w:sz w:val="36"/>
          <w:szCs w:val="36"/>
        </w:rPr>
      </w:pPr>
    </w:p>
    <w:p w:rsidR="00227808" w:rsidRDefault="00227808" w:rsidP="006D45C8">
      <w:pPr>
        <w:jc w:val="center"/>
        <w:rPr>
          <w:rFonts w:ascii="Arial" w:hAnsi="Arial" w:cs="Arial"/>
          <w:b/>
          <w:color w:val="0090D4"/>
          <w:sz w:val="36"/>
          <w:szCs w:val="36"/>
          <w:lang w:val="en-US"/>
        </w:rPr>
      </w:pPr>
    </w:p>
    <w:p w:rsidR="00AA1B76" w:rsidRPr="001556CA" w:rsidRDefault="006D45C8" w:rsidP="006D45C8">
      <w:pPr>
        <w:jc w:val="center"/>
        <w:rPr>
          <w:rFonts w:ascii="Arial" w:eastAsia="Times New Roman" w:hAnsi="Arial" w:cs="Arial"/>
          <w:iCs/>
          <w:sz w:val="36"/>
          <w:szCs w:val="36"/>
          <w:lang w:val="en-US" w:eastAsia="de-DE"/>
        </w:rPr>
      </w:pPr>
      <w:r w:rsidRPr="001556CA">
        <w:rPr>
          <w:rFonts w:ascii="Arial" w:hAnsi="Arial" w:cs="Arial"/>
          <w:b/>
          <w:color w:val="0090D4"/>
          <w:sz w:val="36"/>
          <w:szCs w:val="36"/>
          <w:lang w:val="en-US"/>
        </w:rPr>
        <w:t>History</w:t>
      </w:r>
    </w:p>
    <w:p w:rsidR="00831486" w:rsidRDefault="00831486" w:rsidP="00317FBE">
      <w:pPr>
        <w:rPr>
          <w:rFonts w:cs="Tahoma"/>
          <w:szCs w:val="20"/>
          <w:lang w:val="en-US"/>
        </w:rPr>
      </w:pPr>
    </w:p>
    <w:p w:rsidR="00227808" w:rsidRDefault="00227808" w:rsidP="00317FBE">
      <w:pPr>
        <w:rPr>
          <w:rFonts w:cs="Tahoma"/>
          <w:szCs w:val="20"/>
          <w:lang w:val="en-US"/>
        </w:rPr>
      </w:pPr>
    </w:p>
    <w:p w:rsidR="00227808" w:rsidRDefault="00227808" w:rsidP="00317FBE">
      <w:pPr>
        <w:rPr>
          <w:rFonts w:cs="Tahoma"/>
          <w:szCs w:val="20"/>
          <w:lang w:val="en-US"/>
        </w:rPr>
      </w:pPr>
    </w:p>
    <w:p w:rsidR="00B23458" w:rsidRPr="00B23458" w:rsidRDefault="00B23458" w:rsidP="00B23458">
      <w:pPr>
        <w:rPr>
          <w:rFonts w:ascii="Arial" w:hAnsi="Arial" w:cs="Arial"/>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2009</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July 2009</w:t>
      </w:r>
      <w:r w:rsidRPr="006D45C8">
        <w:rPr>
          <w:rFonts w:ascii="Arial" w:hAnsi="Arial" w:cs="Arial"/>
          <w:sz w:val="22"/>
          <w:lang w:val="en-US"/>
        </w:rPr>
        <w:t xml:space="preserve">: Powernext adopts a new corporate identity to reflect its strategic positioning. A new logo, baseline (“Powering the next markets”) and website are launched simultaneously to accompany this evolution. </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1 April 2009</w:t>
      </w:r>
      <w:r w:rsidRPr="006D45C8">
        <w:rPr>
          <w:rFonts w:ascii="Arial" w:hAnsi="Arial" w:cs="Arial"/>
          <w:sz w:val="22"/>
          <w:lang w:val="en-US"/>
        </w:rPr>
        <w:t xml:space="preserve">: </w:t>
      </w:r>
    </w:p>
    <w:p w:rsidR="006D45C8" w:rsidRPr="006D45C8" w:rsidRDefault="006D45C8" w:rsidP="00227808">
      <w:pPr>
        <w:pStyle w:val="Paragraphedeliste"/>
        <w:numPr>
          <w:ilvl w:val="1"/>
          <w:numId w:val="10"/>
        </w:numPr>
        <w:spacing w:beforeLines="60" w:afterLines="40" w:line="276" w:lineRule="auto"/>
        <w:rPr>
          <w:rFonts w:ascii="Arial" w:hAnsi="Arial" w:cs="Arial"/>
          <w:sz w:val="22"/>
          <w:lang w:val="en-US"/>
        </w:rPr>
      </w:pPr>
      <w:r w:rsidRPr="006D45C8">
        <w:rPr>
          <w:rFonts w:ascii="Arial" w:hAnsi="Arial" w:cs="Arial"/>
          <w:sz w:val="22"/>
          <w:lang w:val="en-US"/>
        </w:rPr>
        <w:t>Powernext transfers the clearing activity for EPEX Spot French Power Products (Day-Ahead and Intraday) from LCH.Clearnet SA to ECC (European Commodity Clearing AG).</w:t>
      </w:r>
    </w:p>
    <w:p w:rsidR="006D45C8" w:rsidRPr="006D45C8" w:rsidRDefault="006D45C8" w:rsidP="00227808">
      <w:pPr>
        <w:pStyle w:val="Paragraphedeliste"/>
        <w:numPr>
          <w:ilvl w:val="1"/>
          <w:numId w:val="10"/>
        </w:numPr>
        <w:spacing w:beforeLines="60" w:afterLines="40" w:line="276" w:lineRule="auto"/>
        <w:rPr>
          <w:rFonts w:ascii="Arial" w:hAnsi="Arial" w:cs="Arial"/>
          <w:sz w:val="22"/>
          <w:lang w:val="en-US"/>
        </w:rPr>
      </w:pPr>
      <w:r w:rsidRPr="006D45C8">
        <w:rPr>
          <w:rFonts w:ascii="Arial" w:hAnsi="Arial" w:cs="Arial"/>
          <w:sz w:val="22"/>
          <w:lang w:val="en-US"/>
        </w:rPr>
        <w:t xml:space="preserve">Powernext transfers French Power Futures market (Powernext Futures) into EPD (EEX Power Derivatives GmbH) along with its 44 trading members. Powernext acquires in return a 20% stake in EPD. </w:t>
      </w:r>
    </w:p>
    <w:p w:rsidR="006D45C8" w:rsidRPr="006D45C8" w:rsidRDefault="006D45C8" w:rsidP="00227808">
      <w:pPr>
        <w:pStyle w:val="Paragraphedeliste"/>
        <w:numPr>
          <w:ilvl w:val="1"/>
          <w:numId w:val="10"/>
        </w:numPr>
        <w:spacing w:beforeLines="60" w:afterLines="40" w:line="276" w:lineRule="auto"/>
        <w:rPr>
          <w:rFonts w:ascii="Arial" w:hAnsi="Arial" w:cs="Arial"/>
          <w:sz w:val="22"/>
          <w:lang w:val="en-US"/>
        </w:rPr>
      </w:pPr>
      <w:r w:rsidRPr="006D45C8">
        <w:rPr>
          <w:rFonts w:ascii="Arial" w:hAnsi="Arial" w:cs="Arial"/>
          <w:sz w:val="22"/>
          <w:lang w:val="en-US"/>
        </w:rPr>
        <w:t>30 TWh of open interest of Powernext Futures are successfully transferred from LCH.Clearnet SA to ECC.</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16 January 2009</w:t>
      </w:r>
      <w:r w:rsidRPr="006D45C8">
        <w:rPr>
          <w:rFonts w:ascii="Arial" w:hAnsi="Arial" w:cs="Arial"/>
          <w:sz w:val="22"/>
          <w:lang w:val="en-US"/>
        </w:rPr>
        <w:t>: Powernext obtains one nominal share in ECC and one seat at the ECC Supervisory board.</w:t>
      </w:r>
    </w:p>
    <w:p w:rsidR="006D45C8" w:rsidRPr="006D45C8" w:rsidRDefault="006D45C8" w:rsidP="00227808">
      <w:pPr>
        <w:spacing w:beforeLines="60" w:afterLines="40" w:line="276" w:lineRule="auto"/>
        <w:rPr>
          <w:rFonts w:ascii="Arial" w:hAnsi="Arial" w:cs="Arial"/>
          <w:b/>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2008</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 xml:space="preserve">31 December 2008 </w:t>
      </w:r>
      <w:r w:rsidRPr="006D45C8">
        <w:rPr>
          <w:rFonts w:ascii="Arial" w:hAnsi="Arial" w:cs="Arial"/>
          <w:sz w:val="22"/>
          <w:lang w:val="en-US"/>
        </w:rPr>
        <w:t xml:space="preserve">: Transfer of Powernext Day-Ahead, Powernext Intraday and market coupling staff and activities into EPEX Spot SE. </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 xml:space="preserve">26 November 2008 </w:t>
      </w:r>
      <w:r w:rsidRPr="006D45C8">
        <w:rPr>
          <w:rFonts w:ascii="Arial" w:hAnsi="Arial" w:cs="Arial"/>
          <w:sz w:val="22"/>
          <w:lang w:val="en-US"/>
        </w:rPr>
        <w:t>: Launch of Powernext Gas Spot and Powernext Gas Futures.</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 xml:space="preserve">30 June 2008 : </w:t>
      </w:r>
    </w:p>
    <w:p w:rsidR="006D45C8" w:rsidRPr="006D45C8" w:rsidRDefault="006D45C8" w:rsidP="00227808">
      <w:pPr>
        <w:pStyle w:val="Paragraphedeliste"/>
        <w:numPr>
          <w:ilvl w:val="1"/>
          <w:numId w:val="11"/>
        </w:numPr>
        <w:spacing w:beforeLines="60" w:afterLines="40" w:line="276" w:lineRule="auto"/>
        <w:rPr>
          <w:rFonts w:ascii="Arial" w:hAnsi="Arial" w:cs="Arial"/>
          <w:sz w:val="22"/>
          <w:lang w:val="en-US"/>
        </w:rPr>
      </w:pPr>
      <w:r w:rsidRPr="006D45C8">
        <w:rPr>
          <w:rFonts w:ascii="Arial" w:hAnsi="Arial" w:cs="Arial"/>
          <w:sz w:val="22"/>
          <w:lang w:val="en-US"/>
        </w:rPr>
        <w:t>NYSE.Euronext leaves the capital of Powernext and sell its 34% shares in Powernext to H</w:t>
      </w:r>
    </w:p>
    <w:p w:rsidR="006D45C8" w:rsidRPr="006D45C8" w:rsidRDefault="006D45C8" w:rsidP="00227808">
      <w:pPr>
        <w:pStyle w:val="Paragraphedeliste"/>
        <w:numPr>
          <w:ilvl w:val="1"/>
          <w:numId w:val="11"/>
        </w:numPr>
        <w:spacing w:beforeLines="60" w:afterLines="40" w:line="276" w:lineRule="auto"/>
        <w:rPr>
          <w:rFonts w:ascii="Arial" w:hAnsi="Arial" w:cs="Arial"/>
          <w:sz w:val="22"/>
          <w:lang w:val="en-US"/>
        </w:rPr>
      </w:pPr>
      <w:r w:rsidRPr="006D45C8">
        <w:rPr>
          <w:rFonts w:ascii="Arial" w:hAnsi="Arial" w:cs="Arial"/>
          <w:sz w:val="22"/>
          <w:lang w:val="en-US"/>
        </w:rPr>
        <w:t>BNP Paribas and Société Générale withdraw from capital of Powernext</w:t>
      </w:r>
    </w:p>
    <w:p w:rsidR="006D45C8" w:rsidRPr="006D45C8" w:rsidRDefault="006D45C8" w:rsidP="00227808">
      <w:pPr>
        <w:pStyle w:val="Paragraphedeliste"/>
        <w:numPr>
          <w:ilvl w:val="1"/>
          <w:numId w:val="11"/>
        </w:numPr>
        <w:spacing w:beforeLines="60" w:afterLines="40" w:line="276" w:lineRule="auto"/>
        <w:rPr>
          <w:rFonts w:ascii="Arial" w:hAnsi="Arial" w:cs="Arial"/>
          <w:b/>
          <w:sz w:val="22"/>
          <w:lang w:val="en-US"/>
        </w:rPr>
      </w:pPr>
      <w:r w:rsidRPr="006D45C8">
        <w:rPr>
          <w:rFonts w:ascii="Arial" w:hAnsi="Arial" w:cs="Arial"/>
          <w:sz w:val="22"/>
          <w:lang w:val="en-US"/>
        </w:rPr>
        <w:t>GDF Suez, TIGF and GRTgaz becomes shareholder of Powernext.</w:t>
      </w:r>
    </w:p>
    <w:p w:rsidR="006D45C8" w:rsidRPr="006D45C8" w:rsidRDefault="006D45C8" w:rsidP="00227808">
      <w:pPr>
        <w:spacing w:beforeLines="60" w:afterLines="40" w:line="276" w:lineRule="auto"/>
        <w:ind w:left="1080"/>
        <w:rPr>
          <w:rFonts w:ascii="Arial" w:hAnsi="Arial" w:cs="Arial"/>
          <w:b/>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2007</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21 December 2007</w:t>
      </w:r>
      <w:r w:rsidRPr="006D45C8">
        <w:rPr>
          <w:rFonts w:ascii="Arial" w:hAnsi="Arial" w:cs="Arial"/>
          <w:sz w:val="22"/>
          <w:lang w:val="en-US"/>
        </w:rPr>
        <w:t xml:space="preserve"> : </w:t>
      </w:r>
    </w:p>
    <w:p w:rsidR="006D45C8" w:rsidRPr="006D45C8" w:rsidRDefault="006D45C8" w:rsidP="00227808">
      <w:pPr>
        <w:pStyle w:val="Paragraphedeliste"/>
        <w:numPr>
          <w:ilvl w:val="1"/>
          <w:numId w:val="12"/>
        </w:numPr>
        <w:spacing w:beforeLines="60" w:afterLines="40" w:line="276" w:lineRule="auto"/>
        <w:rPr>
          <w:rFonts w:ascii="Arial" w:hAnsi="Arial" w:cs="Arial"/>
          <w:sz w:val="22"/>
          <w:lang w:val="en-US"/>
        </w:rPr>
      </w:pPr>
      <w:r w:rsidRPr="006D45C8">
        <w:rPr>
          <w:rFonts w:ascii="Arial" w:hAnsi="Arial" w:cs="Arial"/>
          <w:sz w:val="22"/>
          <w:lang w:val="en-US"/>
        </w:rPr>
        <w:t>Sale of Powernext Carbon to NYSE.Euronext.</w:t>
      </w:r>
    </w:p>
    <w:p w:rsidR="006D45C8" w:rsidRPr="006D45C8" w:rsidRDefault="006D45C8" w:rsidP="00227808">
      <w:pPr>
        <w:pStyle w:val="Paragraphedeliste"/>
        <w:numPr>
          <w:ilvl w:val="1"/>
          <w:numId w:val="12"/>
        </w:numPr>
        <w:spacing w:beforeLines="60" w:afterLines="40" w:line="276" w:lineRule="auto"/>
        <w:rPr>
          <w:rFonts w:ascii="Arial" w:hAnsi="Arial" w:cs="Arial"/>
          <w:sz w:val="22"/>
          <w:lang w:val="en-US"/>
        </w:rPr>
      </w:pPr>
      <w:r w:rsidRPr="006D45C8">
        <w:rPr>
          <w:rFonts w:ascii="Arial" w:hAnsi="Arial" w:cs="Arial"/>
          <w:sz w:val="22"/>
          <w:lang w:val="en-US"/>
        </w:rPr>
        <w:t>Decision of NYSE Euronext to sell its shares in Powernext to HGRT.</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lastRenderedPageBreak/>
        <w:t>17 July 2007</w:t>
      </w:r>
      <w:r w:rsidRPr="006D45C8">
        <w:rPr>
          <w:rFonts w:ascii="Arial" w:hAnsi="Arial" w:cs="Arial"/>
          <w:sz w:val="22"/>
          <w:lang w:val="en-US"/>
        </w:rPr>
        <w:t xml:space="preserve"> : Launch of Powernext Intraday market for electricity to be delivered on the French hub managed by RTE.</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 xml:space="preserve">6 June 2007 : </w:t>
      </w:r>
      <w:r w:rsidRPr="006D45C8">
        <w:rPr>
          <w:rFonts w:ascii="Arial" w:hAnsi="Arial" w:cs="Arial"/>
          <w:sz w:val="22"/>
          <w:lang w:val="en-US"/>
        </w:rPr>
        <w:t>Signature of a Memorandum of Understanding between the representatives the Central Western European (CWE) region (Belgium, France, Germany, Luxembourg, the Netherlands) to create an integrated electricity market in the region.</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 xml:space="preserve">12 April 2007 : </w:t>
      </w:r>
      <w:r w:rsidRPr="006D45C8">
        <w:rPr>
          <w:rFonts w:ascii="Arial" w:hAnsi="Arial" w:cs="Arial"/>
          <w:sz w:val="22"/>
          <w:lang w:val="en-US"/>
        </w:rPr>
        <w:t>Launch of Powernext - Balancing GRTgaz platform</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 xml:space="preserve">1 March 2007 </w:t>
      </w:r>
      <w:r w:rsidRPr="006D45C8">
        <w:rPr>
          <w:rFonts w:ascii="Arial" w:hAnsi="Arial" w:cs="Arial"/>
          <w:sz w:val="22"/>
          <w:lang w:val="en-US"/>
        </w:rPr>
        <w:t>: Launch of OTC Clearing service for Powernext Futures</w:t>
      </w:r>
    </w:p>
    <w:p w:rsidR="006D45C8" w:rsidRPr="006D45C8" w:rsidRDefault="006D45C8" w:rsidP="00227808">
      <w:pPr>
        <w:spacing w:beforeLines="60" w:afterLines="40" w:line="276" w:lineRule="auto"/>
        <w:rPr>
          <w:rFonts w:ascii="Arial" w:hAnsi="Arial" w:cs="Arial"/>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2006</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21 November 2006</w:t>
      </w:r>
      <w:r w:rsidRPr="006D45C8">
        <w:rPr>
          <w:rFonts w:ascii="Arial" w:hAnsi="Arial" w:cs="Arial"/>
          <w:sz w:val="22"/>
          <w:lang w:val="en-US"/>
        </w:rPr>
        <w:t xml:space="preserve"> : Launch of the Trilateral market coupling (TLC) between France, Belgium and Dutch electricity markets. The TLC is a cooperation between the three power exchanges (APX, Powernext, Belpex) and the three transmission system operators (Elia, RTE, TenneT). </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7 July 2006</w:t>
      </w:r>
      <w:r w:rsidRPr="006D45C8">
        <w:rPr>
          <w:rFonts w:ascii="Arial" w:hAnsi="Arial" w:cs="Arial"/>
          <w:sz w:val="22"/>
          <w:lang w:val="en-US"/>
        </w:rPr>
        <w:t xml:space="preserve"> : incorporation of Belpex (Belgian Power Exchange) owned by Elia (60%), RTE (10%), Tennet (10%), APX (10%) and Powernext (10%) </w:t>
      </w:r>
    </w:p>
    <w:p w:rsidR="006D45C8" w:rsidRPr="006D45C8" w:rsidRDefault="006D45C8" w:rsidP="00227808">
      <w:pPr>
        <w:spacing w:beforeLines="60" w:afterLines="40" w:line="276" w:lineRule="auto"/>
        <w:rPr>
          <w:rFonts w:ascii="Arial" w:hAnsi="Arial" w:cs="Arial"/>
          <w:b/>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2005</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31 December 2005:</w:t>
      </w:r>
      <w:r w:rsidRPr="006D45C8">
        <w:rPr>
          <w:rFonts w:ascii="Arial" w:hAnsi="Arial" w:cs="Arial"/>
          <w:sz w:val="22"/>
          <w:lang w:val="en-US"/>
        </w:rPr>
        <w:t xml:space="preserve"> Launch of Powernext VPP service for Belpex and Electrabel.</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24 June 2005</w:t>
      </w:r>
      <w:r w:rsidRPr="006D45C8">
        <w:rPr>
          <w:rFonts w:ascii="Arial" w:hAnsi="Arial" w:cs="Arial"/>
          <w:sz w:val="22"/>
          <w:lang w:val="en-US"/>
        </w:rPr>
        <w:t> : Launch of Powernext Carbon spot market for European CO2 allowances.</w:t>
      </w:r>
    </w:p>
    <w:p w:rsidR="006D45C8" w:rsidRPr="006D45C8" w:rsidRDefault="006D45C8" w:rsidP="00227808">
      <w:pPr>
        <w:spacing w:beforeLines="60" w:afterLines="40" w:line="276" w:lineRule="auto"/>
        <w:rPr>
          <w:rFonts w:ascii="Arial" w:hAnsi="Arial" w:cs="Arial"/>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2004</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27 October 2004</w:t>
      </w:r>
      <w:r w:rsidRPr="006D45C8">
        <w:rPr>
          <w:rFonts w:ascii="Arial" w:hAnsi="Arial" w:cs="Arial"/>
          <w:sz w:val="22"/>
          <w:lang w:val="en-US"/>
        </w:rPr>
        <w:t> : Enel becomes shareholder of Powernext</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18 June 2004</w:t>
      </w:r>
      <w:r w:rsidRPr="006D45C8">
        <w:rPr>
          <w:rFonts w:ascii="Arial" w:hAnsi="Arial" w:cs="Arial"/>
          <w:sz w:val="22"/>
          <w:lang w:val="en-US"/>
        </w:rPr>
        <w:t xml:space="preserve"> : Launch of Powernext Futures</w:t>
      </w:r>
    </w:p>
    <w:p w:rsidR="006D45C8" w:rsidRDefault="006D45C8" w:rsidP="00227808">
      <w:pPr>
        <w:spacing w:beforeLines="60" w:afterLines="40" w:line="276" w:lineRule="auto"/>
        <w:rPr>
          <w:rFonts w:ascii="Arial" w:hAnsi="Arial" w:cs="Arial"/>
          <w:sz w:val="22"/>
          <w:lang w:val="en-US"/>
        </w:rPr>
      </w:pPr>
    </w:p>
    <w:p w:rsidR="006D45C8" w:rsidRPr="006D45C8" w:rsidRDefault="006D45C8" w:rsidP="00227808">
      <w:pPr>
        <w:spacing w:beforeLines="60" w:afterLines="40" w:line="276" w:lineRule="auto"/>
        <w:rPr>
          <w:rFonts w:ascii="Arial" w:hAnsi="Arial" w:cs="Arial"/>
          <w:b/>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2003</w:t>
      </w:r>
    </w:p>
    <w:p w:rsidR="006D45C8" w:rsidRPr="006D45C8" w:rsidRDefault="006D45C8" w:rsidP="00227808">
      <w:pPr>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3 January 2003</w:t>
      </w:r>
      <w:r w:rsidRPr="006D45C8">
        <w:rPr>
          <w:rFonts w:ascii="Arial" w:hAnsi="Arial" w:cs="Arial"/>
          <w:sz w:val="22"/>
          <w:lang w:val="en-US"/>
        </w:rPr>
        <w:t>: Law concerning gas and electricity markets and energy public services. CRE becomes Commission de Régulation de l’Energie and sees its mandate extend to the gas sector.</w:t>
      </w:r>
    </w:p>
    <w:p w:rsidR="006D45C8" w:rsidRPr="006D45C8" w:rsidRDefault="006D45C8" w:rsidP="00227808">
      <w:pPr>
        <w:spacing w:beforeLines="60" w:afterLines="40" w:line="276" w:lineRule="auto"/>
        <w:rPr>
          <w:rFonts w:ascii="Arial" w:hAnsi="Arial" w:cs="Arial"/>
          <w:b/>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2002</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31 August 2002</w:t>
      </w:r>
      <w:r w:rsidRPr="006D45C8">
        <w:rPr>
          <w:rFonts w:ascii="Arial" w:hAnsi="Arial" w:cs="Arial"/>
          <w:sz w:val="22"/>
          <w:lang w:val="en-US"/>
        </w:rPr>
        <w:t> : Launch of Powernext VPP service for EDF.</w:t>
      </w:r>
    </w:p>
    <w:p w:rsidR="006D45C8" w:rsidRPr="006D45C8" w:rsidRDefault="006D45C8" w:rsidP="00227808">
      <w:pPr>
        <w:spacing w:beforeLines="60" w:afterLines="40" w:line="276" w:lineRule="auto"/>
        <w:rPr>
          <w:rFonts w:ascii="Arial" w:hAnsi="Arial" w:cs="Arial"/>
          <w:b/>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2001</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30 November 2001</w:t>
      </w:r>
      <w:r w:rsidRPr="006D45C8">
        <w:rPr>
          <w:rFonts w:ascii="Arial" w:hAnsi="Arial" w:cs="Arial"/>
          <w:color w:val="1F497D"/>
          <w:sz w:val="22"/>
          <w:lang w:val="en-US"/>
        </w:rPr>
        <w:t xml:space="preserve"> : </w:t>
      </w:r>
      <w:r w:rsidRPr="006D45C8">
        <w:rPr>
          <w:rFonts w:ascii="Arial" w:hAnsi="Arial" w:cs="Arial"/>
          <w:sz w:val="22"/>
          <w:lang w:val="en-US"/>
        </w:rPr>
        <w:t>Endesa becomes shareholder of Powernext</w:t>
      </w:r>
      <w:r w:rsidRPr="006D45C8">
        <w:rPr>
          <w:rFonts w:ascii="Arial" w:hAnsi="Arial" w:cs="Arial"/>
          <w:color w:val="1F497D"/>
          <w:sz w:val="22"/>
          <w:lang w:val="en-US"/>
        </w:rPr>
        <w:t xml:space="preserve"> </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26 November 2001</w:t>
      </w:r>
      <w:r w:rsidRPr="006D45C8">
        <w:rPr>
          <w:rFonts w:ascii="Arial" w:hAnsi="Arial" w:cs="Arial"/>
          <w:color w:val="1F497D"/>
          <w:sz w:val="22"/>
          <w:lang w:val="en-US"/>
        </w:rPr>
        <w:t xml:space="preserve"> : </w:t>
      </w:r>
      <w:r w:rsidRPr="006D45C8">
        <w:rPr>
          <w:rFonts w:ascii="Arial" w:hAnsi="Arial" w:cs="Arial"/>
          <w:sz w:val="22"/>
          <w:lang w:val="en-US"/>
        </w:rPr>
        <w:t>Launch of Powernext Day-Ahead</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22 September 2001</w:t>
      </w:r>
      <w:r w:rsidRPr="006D45C8">
        <w:rPr>
          <w:rFonts w:ascii="Arial" w:hAnsi="Arial" w:cs="Arial"/>
          <w:color w:val="1F497D"/>
          <w:sz w:val="22"/>
          <w:lang w:val="en-US"/>
        </w:rPr>
        <w:t xml:space="preserve"> : </w:t>
      </w:r>
      <w:r w:rsidRPr="006D45C8">
        <w:rPr>
          <w:rFonts w:ascii="Arial" w:hAnsi="Arial" w:cs="Arial"/>
          <w:sz w:val="22"/>
          <w:lang w:val="en-US"/>
        </w:rPr>
        <w:t>Atel becomes shareholder of Powernext</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30 July 2001</w:t>
      </w:r>
      <w:r w:rsidRPr="006D45C8">
        <w:rPr>
          <w:rFonts w:ascii="Arial" w:hAnsi="Arial" w:cs="Arial"/>
          <w:sz w:val="22"/>
          <w:lang w:val="en-US"/>
        </w:rPr>
        <w:t> : incorporation of Powernext owned by HGRT Elia (60%), RTE (10%), Tennet (10%), APX (10%) and Powernext (10%) incorporation of Powernext SA with initial shareholders being</w:t>
      </w:r>
    </w:p>
    <w:p w:rsidR="006D45C8" w:rsidRPr="006D45C8" w:rsidRDefault="006D45C8" w:rsidP="00227808">
      <w:pPr>
        <w:spacing w:beforeLines="60" w:afterLines="40" w:line="276" w:lineRule="auto"/>
        <w:rPr>
          <w:rFonts w:ascii="Arial" w:hAnsi="Arial" w:cs="Arial"/>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2000</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12 April 2000</w:t>
      </w:r>
      <w:r w:rsidRPr="006D45C8">
        <w:rPr>
          <w:rFonts w:ascii="Arial" w:hAnsi="Arial" w:cs="Arial"/>
          <w:sz w:val="22"/>
          <w:lang w:val="en-US"/>
        </w:rPr>
        <w:t xml:space="preserve"> : launch of the Powernext feasibility study with Euronext partners  : BNP Paribas, CPTE, EDF, Electrabel, RTE, Société Générale, TotalFinaElf. </w:t>
      </w:r>
    </w:p>
    <w:p w:rsidR="006D45C8" w:rsidRPr="006D45C8" w:rsidRDefault="006D45C8" w:rsidP="00227808">
      <w:pPr>
        <w:pStyle w:val="Paragraphedeliste"/>
        <w:numPr>
          <w:ilvl w:val="0"/>
          <w:numId w:val="2"/>
        </w:numPr>
        <w:spacing w:beforeLines="60" w:afterLines="40" w:line="276" w:lineRule="auto"/>
        <w:rPr>
          <w:rFonts w:ascii="Arial" w:hAnsi="Arial" w:cs="Arial"/>
          <w:sz w:val="22"/>
        </w:rPr>
      </w:pPr>
      <w:r w:rsidRPr="006D45C8">
        <w:rPr>
          <w:rFonts w:ascii="Arial" w:hAnsi="Arial" w:cs="Arial"/>
          <w:b/>
          <w:color w:val="0070C0"/>
          <w:sz w:val="22"/>
        </w:rPr>
        <w:t>24 March 2000</w:t>
      </w:r>
      <w:r w:rsidRPr="006D45C8">
        <w:rPr>
          <w:rFonts w:ascii="Arial" w:hAnsi="Arial" w:cs="Arial"/>
          <w:sz w:val="22"/>
        </w:rPr>
        <w:t> : creation of the Commission de Régulation de l’Electricité (CRE).</w:t>
      </w:r>
    </w:p>
    <w:p w:rsidR="006D45C8" w:rsidRPr="006D45C8" w:rsidRDefault="006D45C8" w:rsidP="00227808">
      <w:pPr>
        <w:pStyle w:val="Paragraphedeliste"/>
        <w:numPr>
          <w:ilvl w:val="0"/>
          <w:numId w:val="2"/>
        </w:numPr>
        <w:spacing w:beforeLines="60" w:afterLines="40" w:line="276" w:lineRule="auto"/>
        <w:rPr>
          <w:rFonts w:ascii="Arial" w:hAnsi="Arial" w:cs="Arial"/>
          <w:sz w:val="22"/>
          <w:lang w:val="en-US"/>
        </w:rPr>
      </w:pPr>
      <w:r w:rsidRPr="006D45C8">
        <w:rPr>
          <w:rFonts w:ascii="Arial" w:hAnsi="Arial" w:cs="Arial"/>
          <w:b/>
          <w:color w:val="0070C0"/>
          <w:sz w:val="22"/>
          <w:lang w:val="en-US"/>
        </w:rPr>
        <w:t>10 February 2000</w:t>
      </w:r>
      <w:r w:rsidRPr="006D45C8">
        <w:rPr>
          <w:rFonts w:ascii="Arial" w:hAnsi="Arial" w:cs="Arial"/>
          <w:sz w:val="22"/>
          <w:lang w:val="en-US"/>
        </w:rPr>
        <w:t xml:space="preserve"> : </w:t>
      </w:r>
      <w:bookmarkStart w:id="0" w:name="rn1"/>
      <w:bookmarkEnd w:id="0"/>
      <w:r w:rsidRPr="006D45C8">
        <w:rPr>
          <w:rFonts w:ascii="Arial" w:hAnsi="Arial" w:cs="Arial"/>
          <w:bCs/>
          <w:sz w:val="22"/>
          <w:lang w:val="en-US"/>
        </w:rPr>
        <w:t>Law on the modernisation and development of the public electricity service</w:t>
      </w:r>
      <w:r w:rsidRPr="006D45C8">
        <w:rPr>
          <w:rFonts w:ascii="Arial" w:hAnsi="Arial" w:cs="Arial"/>
          <w:b/>
          <w:bCs/>
          <w:sz w:val="22"/>
          <w:lang w:val="en-US"/>
        </w:rPr>
        <w:t>.</w:t>
      </w:r>
    </w:p>
    <w:p w:rsidR="006D45C8" w:rsidRPr="006D45C8" w:rsidRDefault="006D45C8" w:rsidP="00227808">
      <w:pPr>
        <w:spacing w:beforeLines="60" w:afterLines="40" w:line="276" w:lineRule="auto"/>
        <w:rPr>
          <w:rFonts w:ascii="Arial" w:hAnsi="Arial" w:cs="Arial"/>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1998</w:t>
      </w:r>
    </w:p>
    <w:p w:rsidR="006D45C8" w:rsidRPr="006D45C8" w:rsidRDefault="006D45C8" w:rsidP="00227808">
      <w:pPr>
        <w:pStyle w:val="Paragraphedeliste"/>
        <w:numPr>
          <w:ilvl w:val="0"/>
          <w:numId w:val="3"/>
        </w:numPr>
        <w:spacing w:beforeLines="60" w:afterLines="40" w:line="276" w:lineRule="auto"/>
        <w:rPr>
          <w:rFonts w:ascii="Arial" w:hAnsi="Arial" w:cs="Arial"/>
          <w:sz w:val="22"/>
          <w:lang w:val="en-US"/>
        </w:rPr>
      </w:pPr>
      <w:r w:rsidRPr="006D45C8">
        <w:rPr>
          <w:rFonts w:ascii="Arial" w:hAnsi="Arial" w:cs="Arial"/>
          <w:b/>
          <w:color w:val="0070C0"/>
          <w:sz w:val="22"/>
          <w:lang w:val="en-US"/>
        </w:rPr>
        <w:t>22 June 1998</w:t>
      </w:r>
      <w:r w:rsidRPr="006D45C8">
        <w:rPr>
          <w:rFonts w:ascii="Arial" w:hAnsi="Arial" w:cs="Arial"/>
          <w:sz w:val="22"/>
          <w:lang w:val="en-US"/>
        </w:rPr>
        <w:t xml:space="preserve"> : European directive concerning the common rules for the internal gas market.</w:t>
      </w:r>
    </w:p>
    <w:p w:rsidR="006D45C8" w:rsidRPr="006D45C8" w:rsidRDefault="006D45C8" w:rsidP="00227808">
      <w:pPr>
        <w:pStyle w:val="Paragraphedeliste"/>
        <w:spacing w:beforeLines="60" w:afterLines="40" w:line="276" w:lineRule="auto"/>
        <w:rPr>
          <w:rFonts w:ascii="Arial" w:hAnsi="Arial" w:cs="Arial"/>
          <w:sz w:val="22"/>
          <w:lang w:val="en-US"/>
        </w:rPr>
      </w:pPr>
    </w:p>
    <w:p w:rsidR="006D45C8" w:rsidRPr="001556CA" w:rsidRDefault="006D45C8" w:rsidP="001556CA">
      <w:pPr>
        <w:jc w:val="left"/>
        <w:rPr>
          <w:rFonts w:ascii="Arial" w:hAnsi="Arial" w:cs="Arial"/>
          <w:b/>
          <w:color w:val="0090D4"/>
          <w:sz w:val="36"/>
          <w:szCs w:val="36"/>
          <w:lang w:val="en-US"/>
        </w:rPr>
      </w:pPr>
      <w:r w:rsidRPr="001556CA">
        <w:rPr>
          <w:rFonts w:ascii="Arial" w:hAnsi="Arial" w:cs="Arial"/>
          <w:b/>
          <w:color w:val="0090D4"/>
          <w:sz w:val="36"/>
          <w:szCs w:val="36"/>
          <w:lang w:val="en-US"/>
        </w:rPr>
        <w:t>1996</w:t>
      </w:r>
    </w:p>
    <w:p w:rsidR="006D45C8" w:rsidRPr="006D45C8" w:rsidRDefault="006D45C8" w:rsidP="00227808">
      <w:pPr>
        <w:pStyle w:val="Paragraphedeliste"/>
        <w:numPr>
          <w:ilvl w:val="0"/>
          <w:numId w:val="3"/>
        </w:numPr>
        <w:spacing w:beforeLines="60" w:afterLines="40" w:line="276" w:lineRule="auto"/>
        <w:rPr>
          <w:rFonts w:ascii="Arial" w:hAnsi="Arial" w:cs="Arial"/>
          <w:sz w:val="22"/>
          <w:lang w:val="en-US"/>
        </w:rPr>
      </w:pPr>
      <w:r w:rsidRPr="006D45C8">
        <w:rPr>
          <w:rFonts w:ascii="Arial" w:hAnsi="Arial" w:cs="Arial"/>
          <w:b/>
          <w:color w:val="0070C0"/>
          <w:sz w:val="22"/>
          <w:lang w:val="en-US"/>
        </w:rPr>
        <w:t>19</w:t>
      </w:r>
      <w:r w:rsidRPr="006D45C8">
        <w:rPr>
          <w:rFonts w:ascii="Arial" w:hAnsi="Arial" w:cs="Arial"/>
          <w:b/>
          <w:color w:val="0070C0"/>
          <w:sz w:val="22"/>
          <w:vertAlign w:val="superscript"/>
          <w:lang w:val="en-US"/>
        </w:rPr>
        <w:t xml:space="preserve"> </w:t>
      </w:r>
      <w:r w:rsidRPr="006D45C8">
        <w:rPr>
          <w:rFonts w:ascii="Arial" w:hAnsi="Arial" w:cs="Arial"/>
          <w:b/>
          <w:color w:val="0070C0"/>
          <w:sz w:val="22"/>
          <w:lang w:val="en-US"/>
        </w:rPr>
        <w:t>December 1996</w:t>
      </w:r>
      <w:r w:rsidRPr="006D45C8">
        <w:rPr>
          <w:rFonts w:ascii="Arial" w:hAnsi="Arial" w:cs="Arial"/>
          <w:sz w:val="22"/>
          <w:lang w:val="en-US"/>
        </w:rPr>
        <w:t xml:space="preserve"> : European directive concerning the common rules for the internal electricity market</w:t>
      </w:r>
    </w:p>
    <w:p w:rsidR="00317FBE" w:rsidRDefault="00317FBE"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227808"/>
    <w:p w:rsidR="00227808" w:rsidRPr="00B03A7A" w:rsidRDefault="00227808" w:rsidP="00227808">
      <w:pPr>
        <w:jc w:val="center"/>
        <w:rPr>
          <w:rFonts w:ascii="Arial" w:hAnsi="Arial" w:cs="Arial"/>
          <w:b/>
          <w:color w:val="0090D4"/>
          <w:sz w:val="36"/>
          <w:szCs w:val="36"/>
          <w:lang w:val="en-US"/>
        </w:rPr>
      </w:pPr>
      <w:r w:rsidRPr="00B03A7A">
        <w:rPr>
          <w:rFonts w:ascii="Arial" w:hAnsi="Arial" w:cs="Arial"/>
          <w:b/>
          <w:color w:val="0090D4"/>
          <w:sz w:val="36"/>
          <w:szCs w:val="36"/>
          <w:lang w:val="en-US"/>
        </w:rPr>
        <w:lastRenderedPageBreak/>
        <w:t>Powernext Group</w:t>
      </w:r>
    </w:p>
    <w:p w:rsidR="00227808" w:rsidRPr="00AA1B76" w:rsidRDefault="00227808" w:rsidP="00227808">
      <w:pPr>
        <w:spacing w:before="120" w:line="360" w:lineRule="auto"/>
        <w:rPr>
          <w:rFonts w:ascii="Arial" w:eastAsia="Times New Roman" w:hAnsi="Arial" w:cs="Arial"/>
          <w:iCs/>
          <w:sz w:val="22"/>
          <w:lang w:val="en-US" w:eastAsia="de-DE"/>
        </w:rPr>
      </w:pPr>
    </w:p>
    <w:p w:rsidR="00227808" w:rsidRDefault="00227808" w:rsidP="00227808">
      <w:pPr>
        <w:rPr>
          <w:rFonts w:cs="Tahoma"/>
          <w:szCs w:val="20"/>
          <w:lang w:val="en-US"/>
        </w:rPr>
      </w:pPr>
    </w:p>
    <w:p w:rsidR="00227808" w:rsidRDefault="00227808" w:rsidP="00227808">
      <w:pPr>
        <w:rPr>
          <w:rFonts w:ascii="Arial" w:hAnsi="Arial" w:cs="Arial"/>
          <w:sz w:val="22"/>
          <w:lang w:val="en-US"/>
        </w:rPr>
      </w:pPr>
      <w:r w:rsidRPr="00B23458">
        <w:rPr>
          <w:rFonts w:ascii="Arial" w:hAnsi="Arial" w:cs="Arial"/>
          <w:sz w:val="22"/>
          <w:lang w:val="en-US"/>
        </w:rPr>
        <w:t>On top of managing its own markets, Powernext holds participations in several companies in the energy sector:</w:t>
      </w:r>
      <w:r>
        <w:rPr>
          <w:rFonts w:ascii="Arial" w:hAnsi="Arial" w:cs="Arial"/>
          <w:sz w:val="22"/>
          <w:lang w:val="en-US"/>
        </w:rPr>
        <w:t xml:space="preserve"> </w:t>
      </w:r>
    </w:p>
    <w:p w:rsidR="00227808" w:rsidRPr="00B23458" w:rsidRDefault="00227808" w:rsidP="00227808">
      <w:pPr>
        <w:rPr>
          <w:rFonts w:ascii="Arial" w:hAnsi="Arial" w:cs="Arial"/>
          <w:sz w:val="22"/>
          <w:lang w:val="en-US"/>
        </w:rPr>
      </w:pPr>
    </w:p>
    <w:p w:rsidR="00227808" w:rsidRPr="00B23458" w:rsidRDefault="00227808" w:rsidP="00227808">
      <w:pPr>
        <w:pStyle w:val="Paragraphedeliste"/>
        <w:numPr>
          <w:ilvl w:val="0"/>
          <w:numId w:val="8"/>
        </w:numPr>
        <w:rPr>
          <w:rFonts w:ascii="Arial" w:hAnsi="Arial" w:cs="Arial"/>
          <w:sz w:val="22"/>
          <w:lang w:val="en-US"/>
        </w:rPr>
      </w:pPr>
      <w:r w:rsidRPr="00B23458">
        <w:rPr>
          <w:rFonts w:ascii="Arial" w:hAnsi="Arial" w:cs="Arial"/>
          <w:sz w:val="22"/>
          <w:lang w:val="en-US"/>
        </w:rPr>
        <w:t>50% of EPEX Spot</w:t>
      </w:r>
    </w:p>
    <w:p w:rsidR="00227808" w:rsidRPr="00B23458" w:rsidRDefault="00227808" w:rsidP="00227808">
      <w:pPr>
        <w:pStyle w:val="Paragraphedeliste"/>
        <w:numPr>
          <w:ilvl w:val="0"/>
          <w:numId w:val="8"/>
        </w:numPr>
        <w:rPr>
          <w:rFonts w:ascii="Arial" w:hAnsi="Arial" w:cs="Arial"/>
          <w:sz w:val="22"/>
          <w:lang w:val="en-US"/>
        </w:rPr>
      </w:pPr>
      <w:r w:rsidRPr="00B23458">
        <w:rPr>
          <w:rFonts w:ascii="Arial" w:hAnsi="Arial" w:cs="Arial"/>
          <w:sz w:val="22"/>
          <w:lang w:val="en-US"/>
        </w:rPr>
        <w:t>20% of EEX Power Derivatives GmbH</w:t>
      </w:r>
    </w:p>
    <w:p w:rsidR="00227808" w:rsidRPr="00B23458" w:rsidRDefault="00227808" w:rsidP="00227808">
      <w:pPr>
        <w:pStyle w:val="Paragraphedeliste"/>
        <w:numPr>
          <w:ilvl w:val="0"/>
          <w:numId w:val="8"/>
        </w:numPr>
        <w:rPr>
          <w:rFonts w:ascii="Arial" w:hAnsi="Arial" w:cs="Arial"/>
          <w:sz w:val="22"/>
          <w:lang w:val="en-US"/>
        </w:rPr>
      </w:pPr>
      <w:r w:rsidRPr="00B23458">
        <w:rPr>
          <w:rFonts w:ascii="Arial" w:hAnsi="Arial" w:cs="Arial"/>
          <w:sz w:val="22"/>
          <w:lang w:val="en-US"/>
        </w:rPr>
        <w:t>10% of Belpex</w:t>
      </w:r>
    </w:p>
    <w:p w:rsidR="00227808" w:rsidRPr="00B23458" w:rsidRDefault="00227808" w:rsidP="00227808">
      <w:pPr>
        <w:pStyle w:val="Paragraphedeliste"/>
        <w:numPr>
          <w:ilvl w:val="0"/>
          <w:numId w:val="8"/>
        </w:numPr>
        <w:rPr>
          <w:rFonts w:ascii="Arial" w:hAnsi="Arial" w:cs="Arial"/>
          <w:sz w:val="22"/>
          <w:lang w:val="en-US"/>
        </w:rPr>
      </w:pPr>
      <w:r w:rsidRPr="00B23458">
        <w:rPr>
          <w:rFonts w:ascii="Arial" w:hAnsi="Arial" w:cs="Arial"/>
          <w:sz w:val="22"/>
          <w:lang w:val="en-US"/>
        </w:rPr>
        <w:t>1 share in ECC</w:t>
      </w:r>
    </w:p>
    <w:p w:rsidR="00227808" w:rsidRPr="00B23458" w:rsidRDefault="00227808" w:rsidP="00227808">
      <w:pPr>
        <w:rPr>
          <w:rFonts w:ascii="Arial" w:hAnsi="Arial" w:cs="Arial"/>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Through these participations Powernext continues the integration work of the European electricity market.</w:t>
      </w:r>
    </w:p>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sz w:val="22"/>
          <w:lang w:val="en-US"/>
        </w:rPr>
      </w:pPr>
      <w:r w:rsidRPr="00B23458">
        <w:rPr>
          <w:rFonts w:ascii="Arial" w:hAnsi="Arial" w:cs="Arial"/>
          <w:noProof/>
          <w:sz w:val="22"/>
          <w:lang w:eastAsia="fr-FR"/>
        </w:rPr>
        <w:drawing>
          <wp:inline distT="0" distB="0" distL="0" distR="0">
            <wp:extent cx="5760720" cy="2554207"/>
            <wp:effectExtent l="1905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60720" cy="2554207"/>
                    </a:xfrm>
                    <a:prstGeom prst="rect">
                      <a:avLst/>
                    </a:prstGeom>
                    <a:noFill/>
                    <a:ln w="9525">
                      <a:noFill/>
                      <a:miter lim="800000"/>
                      <a:headEnd/>
                      <a:tailEnd/>
                    </a:ln>
                  </pic:spPr>
                </pic:pic>
              </a:graphicData>
            </a:graphic>
          </wp:inline>
        </w:drawing>
      </w:r>
    </w:p>
    <w:p w:rsidR="00227808" w:rsidRDefault="00227808" w:rsidP="00227808">
      <w:pPr>
        <w:rPr>
          <w:rFonts w:ascii="Arial" w:hAnsi="Arial" w:cs="Arial"/>
          <w:b/>
          <w:sz w:val="22"/>
          <w:lang w:val="en-US"/>
        </w:rPr>
      </w:pPr>
    </w:p>
    <w:p w:rsidR="00227808" w:rsidRDefault="00227808" w:rsidP="00227808">
      <w:pPr>
        <w:rPr>
          <w:rFonts w:ascii="Arial" w:hAnsi="Arial" w:cs="Arial"/>
          <w:b/>
          <w:sz w:val="22"/>
          <w:lang w:val="en-US"/>
        </w:rPr>
      </w:pPr>
    </w:p>
    <w:p w:rsidR="00227808" w:rsidRPr="00B23458" w:rsidRDefault="00227808" w:rsidP="00227808">
      <w:pPr>
        <w:rPr>
          <w:rFonts w:ascii="Arial" w:hAnsi="Arial" w:cs="Arial"/>
          <w:b/>
          <w:sz w:val="22"/>
          <w:lang w:val="en-US"/>
        </w:rPr>
      </w:pPr>
    </w:p>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b/>
          <w:color w:val="0070C0"/>
          <w:sz w:val="22"/>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227808" w:rsidRPr="00B23458" w:rsidTr="00AE444A">
        <w:tc>
          <w:tcPr>
            <w:tcW w:w="4606" w:type="dxa"/>
          </w:tcPr>
          <w:p w:rsidR="00227808" w:rsidRPr="00B23458" w:rsidRDefault="00227808" w:rsidP="00AE444A">
            <w:pPr>
              <w:rPr>
                <w:rFonts w:ascii="Arial" w:hAnsi="Arial" w:cs="Arial"/>
                <w:b/>
                <w:color w:val="0070C0"/>
                <w:sz w:val="22"/>
                <w:lang w:val="en-US"/>
              </w:rPr>
            </w:pPr>
            <w:r w:rsidRPr="00B23458">
              <w:rPr>
                <w:rFonts w:ascii="Arial" w:hAnsi="Arial" w:cs="Arial"/>
                <w:b/>
                <w:color w:val="0070C0"/>
                <w:sz w:val="22"/>
                <w:lang w:val="en-US"/>
              </w:rPr>
              <w:t>About EPEX Spot SE</w:t>
            </w:r>
          </w:p>
        </w:tc>
        <w:tc>
          <w:tcPr>
            <w:tcW w:w="4606" w:type="dxa"/>
          </w:tcPr>
          <w:p w:rsidR="00227808" w:rsidRPr="00B23458" w:rsidRDefault="00227808" w:rsidP="00AE444A">
            <w:pPr>
              <w:jc w:val="right"/>
              <w:rPr>
                <w:rFonts w:ascii="Arial" w:hAnsi="Arial" w:cs="Arial"/>
                <w:b/>
                <w:color w:val="0070C0"/>
                <w:sz w:val="22"/>
                <w:lang w:val="en-US"/>
              </w:rPr>
            </w:pPr>
            <w:r w:rsidRPr="00B23458">
              <w:rPr>
                <w:rFonts w:ascii="Arial" w:hAnsi="Arial" w:cs="Arial"/>
                <w:b/>
                <w:noProof/>
                <w:color w:val="0070C0"/>
                <w:sz w:val="22"/>
                <w:lang w:eastAsia="fr-FR"/>
              </w:rPr>
              <w:drawing>
                <wp:inline distT="0" distB="0" distL="0" distR="0">
                  <wp:extent cx="914837" cy="228600"/>
                  <wp:effectExtent l="19050" t="0" r="0" b="0"/>
                  <wp:docPr id="3" name="Image 1" descr="Logo_EPEX"/>
                  <wp:cNvGraphicFramePr/>
                  <a:graphic xmlns:a="http://schemas.openxmlformats.org/drawingml/2006/main">
                    <a:graphicData uri="http://schemas.openxmlformats.org/drawingml/2006/picture">
                      <pic:pic xmlns:pic="http://schemas.openxmlformats.org/drawingml/2006/picture">
                        <pic:nvPicPr>
                          <pic:cNvPr id="2063" name="Picture 19" descr="Logo_EPEX"/>
                          <pic:cNvPicPr>
                            <a:picLocks noChangeAspect="1" noChangeArrowheads="1"/>
                          </pic:cNvPicPr>
                        </pic:nvPicPr>
                        <pic:blipFill>
                          <a:blip r:embed="rId9" cstate="print"/>
                          <a:srcRect/>
                          <a:stretch>
                            <a:fillRect/>
                          </a:stretch>
                        </pic:blipFill>
                        <pic:spPr bwMode="auto">
                          <a:xfrm>
                            <a:off x="0" y="0"/>
                            <a:ext cx="923308" cy="230717"/>
                          </a:xfrm>
                          <a:prstGeom prst="rect">
                            <a:avLst/>
                          </a:prstGeom>
                          <a:noFill/>
                          <a:ln w="9525">
                            <a:noFill/>
                            <a:miter lim="800000"/>
                            <a:headEnd/>
                            <a:tailEnd/>
                          </a:ln>
                        </pic:spPr>
                      </pic:pic>
                    </a:graphicData>
                  </a:graphic>
                </wp:inline>
              </w:drawing>
            </w:r>
          </w:p>
        </w:tc>
      </w:tr>
    </w:tbl>
    <w:p w:rsidR="00227808" w:rsidRPr="00B23458" w:rsidRDefault="00227808" w:rsidP="00227808">
      <w:pPr>
        <w:rPr>
          <w:rFonts w:ascii="Arial" w:hAnsi="Arial" w:cs="Arial"/>
          <w:b/>
          <w:color w:val="0070C0"/>
          <w:sz w:val="22"/>
          <w:lang w:val="en-US"/>
        </w:rPr>
      </w:pPr>
    </w:p>
    <w:p w:rsidR="00227808" w:rsidRPr="00B03A7A" w:rsidRDefault="00227808" w:rsidP="00227808">
      <w:pPr>
        <w:rPr>
          <w:rFonts w:ascii="Arial" w:hAnsi="Arial" w:cs="Arial"/>
          <w:sz w:val="22"/>
          <w:lang w:val="en-US"/>
        </w:rPr>
      </w:pPr>
      <w:r w:rsidRPr="00B03A7A">
        <w:rPr>
          <w:rFonts w:ascii="Arial" w:hAnsi="Arial" w:cs="Arial"/>
          <w:sz w:val="22"/>
          <w:lang w:val="en-US"/>
        </w:rPr>
        <w:t xml:space="preserve">EPEX Spot is operated by EPEX Spot SE which is a European company (a Societas Europae or SE). </w:t>
      </w:r>
    </w:p>
    <w:p w:rsidR="00227808" w:rsidRPr="00B03A7A" w:rsidRDefault="00227808" w:rsidP="00227808">
      <w:pPr>
        <w:spacing w:line="360" w:lineRule="auto"/>
        <w:rPr>
          <w:rFonts w:ascii="Arial" w:hAnsi="Arial" w:cs="Arial"/>
          <w:sz w:val="22"/>
          <w:lang w:val="en-US"/>
        </w:rPr>
      </w:pPr>
      <w:r w:rsidRPr="00B03A7A">
        <w:rPr>
          <w:rFonts w:ascii="Arial" w:hAnsi="Arial" w:cs="Arial"/>
          <w:sz w:val="22"/>
          <w:lang w:val="en-US"/>
        </w:rPr>
        <w:t xml:space="preserve">EPEX Spot SE equity capital is equally divided between EEX Power Spot and Powernext SA.  </w:t>
      </w:r>
    </w:p>
    <w:p w:rsidR="00227808" w:rsidRDefault="00227808" w:rsidP="00227808">
      <w:pPr>
        <w:rPr>
          <w:rFonts w:ascii="Arial" w:hAnsi="Arial" w:cs="Arial"/>
          <w:b/>
          <w:color w:val="33CC33"/>
          <w:sz w:val="22"/>
          <w:u w:val="single"/>
          <w:lang w:val="en-US"/>
        </w:rPr>
      </w:pPr>
      <w:hyperlink r:id="rId10" w:history="1">
        <w:r w:rsidRPr="00BF5C82">
          <w:rPr>
            <w:rStyle w:val="Lienhypertexte"/>
            <w:rFonts w:ascii="Arial" w:hAnsi="Arial" w:cs="Arial"/>
            <w:b/>
            <w:sz w:val="22"/>
            <w:lang w:val="en-US"/>
          </w:rPr>
          <w:t>http://www.epexspot.com</w:t>
        </w:r>
      </w:hyperlink>
    </w:p>
    <w:p w:rsidR="00227808" w:rsidRPr="00B23458" w:rsidRDefault="00227808" w:rsidP="00227808">
      <w:pPr>
        <w:rPr>
          <w:rFonts w:ascii="Arial" w:hAnsi="Arial" w:cs="Arial"/>
          <w:b/>
          <w:color w:val="33CC33"/>
          <w:sz w:val="22"/>
          <w:u w:val="single"/>
          <w:lang w:val="en-US"/>
        </w:rPr>
      </w:pPr>
    </w:p>
    <w:p w:rsidR="00227808" w:rsidRDefault="00227808" w:rsidP="00227808">
      <w:pPr>
        <w:rPr>
          <w:rFonts w:ascii="Arial" w:hAnsi="Arial" w:cs="Arial"/>
          <w:b/>
          <w:color w:val="0070C0"/>
          <w:sz w:val="22"/>
          <w:lang w:val="en-US"/>
        </w:rPr>
      </w:pPr>
    </w:p>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b/>
          <w:color w:val="0070C0"/>
          <w:sz w:val="22"/>
          <w:lang w:val="en-US"/>
        </w:rPr>
      </w:pPr>
    </w:p>
    <w:p w:rsidR="00227808" w:rsidRDefault="00227808" w:rsidP="0022780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227808" w:rsidRPr="00B23458" w:rsidTr="00AE444A">
        <w:tc>
          <w:tcPr>
            <w:tcW w:w="4606" w:type="dxa"/>
          </w:tcPr>
          <w:p w:rsidR="00227808" w:rsidRDefault="00227808" w:rsidP="00AE444A">
            <w:pPr>
              <w:rPr>
                <w:rFonts w:ascii="Arial" w:hAnsi="Arial" w:cs="Arial"/>
                <w:b/>
                <w:color w:val="0070C0"/>
                <w:sz w:val="22"/>
                <w:lang w:val="en-US"/>
              </w:rPr>
            </w:pPr>
          </w:p>
          <w:p w:rsidR="00227808" w:rsidRPr="00B23458" w:rsidRDefault="00227808" w:rsidP="00AE444A">
            <w:pPr>
              <w:rPr>
                <w:rFonts w:ascii="Arial" w:hAnsi="Arial" w:cs="Arial"/>
                <w:b/>
                <w:color w:val="0070C0"/>
                <w:sz w:val="22"/>
                <w:lang w:val="en-US"/>
              </w:rPr>
            </w:pPr>
            <w:r w:rsidRPr="00B23458">
              <w:rPr>
                <w:rFonts w:ascii="Arial" w:hAnsi="Arial" w:cs="Arial"/>
                <w:b/>
                <w:color w:val="0070C0"/>
                <w:sz w:val="22"/>
                <w:lang w:val="en-US"/>
              </w:rPr>
              <w:t>About EEX Power Derivatives GmbH</w:t>
            </w:r>
          </w:p>
        </w:tc>
        <w:tc>
          <w:tcPr>
            <w:tcW w:w="4606" w:type="dxa"/>
          </w:tcPr>
          <w:p w:rsidR="00227808" w:rsidRPr="00B23458" w:rsidRDefault="00227808" w:rsidP="00AE444A">
            <w:pPr>
              <w:jc w:val="right"/>
              <w:rPr>
                <w:rFonts w:ascii="Arial" w:hAnsi="Arial" w:cs="Arial"/>
                <w:b/>
                <w:color w:val="0070C0"/>
                <w:sz w:val="22"/>
                <w:lang w:val="en-US"/>
              </w:rPr>
            </w:pPr>
            <w:r w:rsidRPr="00B23458">
              <w:rPr>
                <w:rFonts w:ascii="Arial" w:hAnsi="Arial" w:cs="Arial"/>
                <w:b/>
                <w:noProof/>
                <w:color w:val="0070C0"/>
                <w:sz w:val="22"/>
                <w:lang w:eastAsia="fr-FR"/>
              </w:rPr>
              <w:drawing>
                <wp:inline distT="0" distB="0" distL="0" distR="0">
                  <wp:extent cx="542925" cy="257018"/>
                  <wp:effectExtent l="19050" t="0" r="9525" b="0"/>
                  <wp:docPr id="5" name="Image 2" descr="Logo_EEX_power_derivatives"/>
                  <wp:cNvGraphicFramePr/>
                  <a:graphic xmlns:a="http://schemas.openxmlformats.org/drawingml/2006/main">
                    <a:graphicData uri="http://schemas.openxmlformats.org/drawingml/2006/picture">
                      <pic:pic xmlns:pic="http://schemas.openxmlformats.org/drawingml/2006/picture">
                        <pic:nvPicPr>
                          <pic:cNvPr id="2057" name="Picture 42" descr="Logo_EEX_power_derivatives"/>
                          <pic:cNvPicPr>
                            <a:picLocks noChangeAspect="1" noChangeArrowheads="1"/>
                          </pic:cNvPicPr>
                        </pic:nvPicPr>
                        <pic:blipFill>
                          <a:blip r:embed="rId11" cstate="print"/>
                          <a:srcRect/>
                          <a:stretch>
                            <a:fillRect/>
                          </a:stretch>
                        </pic:blipFill>
                        <pic:spPr bwMode="auto">
                          <a:xfrm>
                            <a:off x="0" y="0"/>
                            <a:ext cx="547665" cy="259262"/>
                          </a:xfrm>
                          <a:prstGeom prst="rect">
                            <a:avLst/>
                          </a:prstGeom>
                          <a:noFill/>
                          <a:ln w="9525">
                            <a:noFill/>
                            <a:miter lim="800000"/>
                            <a:headEnd/>
                            <a:tailEnd/>
                          </a:ln>
                        </pic:spPr>
                      </pic:pic>
                    </a:graphicData>
                  </a:graphic>
                </wp:inline>
              </w:drawing>
            </w:r>
          </w:p>
        </w:tc>
      </w:tr>
    </w:tbl>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EEX Power Derivatives GmbH (EPD) is a joint venture between EEX (80%) and Powernext (20%). EPD is based in Leipzig and manages French and German derivatives markets, as well as the registration for clearing at ECC of OTC transactions.</w:t>
      </w:r>
    </w:p>
    <w:p w:rsidR="00227808" w:rsidRPr="00B23458" w:rsidRDefault="00227808" w:rsidP="00227808">
      <w:pPr>
        <w:rPr>
          <w:rFonts w:ascii="Arial" w:hAnsi="Arial" w:cs="Arial"/>
          <w:b/>
          <w:color w:val="0070C0"/>
          <w:sz w:val="22"/>
          <w:lang w:val="en-US"/>
        </w:rPr>
      </w:pPr>
    </w:p>
    <w:p w:rsidR="00227808" w:rsidRDefault="00227808" w:rsidP="00227808">
      <w:pPr>
        <w:rPr>
          <w:rFonts w:ascii="Arial" w:hAnsi="Arial" w:cs="Arial"/>
          <w:b/>
          <w:color w:val="33CC33"/>
          <w:sz w:val="22"/>
          <w:u w:val="single"/>
          <w:lang w:val="en-US"/>
        </w:rPr>
      </w:pPr>
      <w:hyperlink r:id="rId12" w:history="1">
        <w:r w:rsidRPr="00BF5C82">
          <w:rPr>
            <w:rStyle w:val="Lienhypertexte"/>
            <w:rFonts w:ascii="Arial" w:hAnsi="Arial" w:cs="Arial"/>
            <w:b/>
            <w:sz w:val="22"/>
            <w:lang w:val="en-US"/>
          </w:rPr>
          <w:t>http://www.eex.com</w:t>
        </w:r>
      </w:hyperlink>
    </w:p>
    <w:p w:rsidR="00227808" w:rsidRDefault="00227808" w:rsidP="00227808">
      <w:pPr>
        <w:rPr>
          <w:rFonts w:ascii="Arial" w:hAnsi="Arial" w:cs="Arial"/>
          <w:b/>
          <w:color w:val="33CC33"/>
          <w:sz w:val="22"/>
          <w:u w:val="single"/>
          <w:lang w:val="en-US"/>
        </w:rPr>
      </w:pPr>
    </w:p>
    <w:p w:rsidR="00227808" w:rsidRDefault="00227808" w:rsidP="00227808">
      <w:pPr>
        <w:rPr>
          <w:rFonts w:ascii="Arial" w:hAnsi="Arial" w:cs="Arial"/>
          <w:b/>
          <w:color w:val="33CC33"/>
          <w:sz w:val="22"/>
          <w:u w:val="single"/>
          <w:lang w:val="en-US"/>
        </w:rPr>
      </w:pPr>
    </w:p>
    <w:p w:rsidR="00227808" w:rsidRPr="00B23458" w:rsidRDefault="00227808" w:rsidP="00227808">
      <w:pPr>
        <w:rPr>
          <w:rFonts w:ascii="Arial" w:hAnsi="Arial" w:cs="Arial"/>
          <w:b/>
          <w:color w:val="33CC33"/>
          <w:sz w:val="22"/>
          <w:u w:val="single"/>
          <w:lang w:val="en-US"/>
        </w:rPr>
      </w:pPr>
    </w:p>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b/>
          <w:color w:val="0070C0"/>
          <w:sz w:val="22"/>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227808" w:rsidRPr="00B23458" w:rsidTr="00AE444A">
        <w:tc>
          <w:tcPr>
            <w:tcW w:w="4606" w:type="dxa"/>
          </w:tcPr>
          <w:p w:rsidR="00227808" w:rsidRPr="00B23458" w:rsidRDefault="00227808" w:rsidP="00AE444A">
            <w:pPr>
              <w:rPr>
                <w:rFonts w:ascii="Arial" w:hAnsi="Arial" w:cs="Arial"/>
                <w:b/>
                <w:color w:val="0070C0"/>
                <w:sz w:val="22"/>
                <w:lang w:val="en-US"/>
              </w:rPr>
            </w:pPr>
            <w:r w:rsidRPr="00B23458">
              <w:rPr>
                <w:rFonts w:ascii="Arial" w:hAnsi="Arial" w:cs="Arial"/>
                <w:b/>
                <w:color w:val="0070C0"/>
                <w:sz w:val="22"/>
                <w:lang w:val="en-US"/>
              </w:rPr>
              <w:t>About Belpex</w:t>
            </w:r>
          </w:p>
        </w:tc>
        <w:tc>
          <w:tcPr>
            <w:tcW w:w="4606" w:type="dxa"/>
          </w:tcPr>
          <w:p w:rsidR="00227808" w:rsidRPr="00B23458" w:rsidRDefault="00227808" w:rsidP="00AE444A">
            <w:pPr>
              <w:jc w:val="right"/>
              <w:rPr>
                <w:rFonts w:ascii="Arial" w:hAnsi="Arial" w:cs="Arial"/>
                <w:b/>
                <w:color w:val="0070C0"/>
                <w:sz w:val="22"/>
                <w:lang w:val="en-US"/>
              </w:rPr>
            </w:pPr>
            <w:r w:rsidRPr="00B23458">
              <w:rPr>
                <w:rFonts w:ascii="Arial" w:hAnsi="Arial" w:cs="Arial"/>
                <w:b/>
                <w:noProof/>
                <w:color w:val="0070C0"/>
                <w:sz w:val="22"/>
                <w:lang w:eastAsia="fr-FR"/>
              </w:rPr>
              <w:drawing>
                <wp:inline distT="0" distB="0" distL="0" distR="0">
                  <wp:extent cx="794666" cy="190500"/>
                  <wp:effectExtent l="19050" t="0" r="5434" b="0"/>
                  <wp:docPr id="6" name="Image 4" descr="Belpex"/>
                  <wp:cNvGraphicFramePr/>
                  <a:graphic xmlns:a="http://schemas.openxmlformats.org/drawingml/2006/main">
                    <a:graphicData uri="http://schemas.openxmlformats.org/drawingml/2006/picture">
                      <pic:pic xmlns:pic="http://schemas.openxmlformats.org/drawingml/2006/picture">
                        <pic:nvPicPr>
                          <pic:cNvPr id="2065" name="Picture 10" descr="Belpex"/>
                          <pic:cNvPicPr>
                            <a:picLocks noChangeAspect="1" noChangeArrowheads="1"/>
                          </pic:cNvPicPr>
                        </pic:nvPicPr>
                        <pic:blipFill>
                          <a:blip r:embed="rId13"/>
                          <a:srcRect/>
                          <a:stretch>
                            <a:fillRect/>
                          </a:stretch>
                        </pic:blipFill>
                        <pic:spPr bwMode="auto">
                          <a:xfrm>
                            <a:off x="0" y="0"/>
                            <a:ext cx="798560" cy="191434"/>
                          </a:xfrm>
                          <a:prstGeom prst="rect">
                            <a:avLst/>
                          </a:prstGeom>
                          <a:noFill/>
                          <a:ln w="9525">
                            <a:noFill/>
                            <a:miter lim="800000"/>
                            <a:headEnd/>
                            <a:tailEnd/>
                          </a:ln>
                        </pic:spPr>
                      </pic:pic>
                    </a:graphicData>
                  </a:graphic>
                </wp:inline>
              </w:drawing>
            </w:r>
          </w:p>
        </w:tc>
      </w:tr>
    </w:tbl>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 xml:space="preserve">Belpex is a power exchange offering trading services in short term power (Day-Ahead and Intraday delivered on the belgian hub operated by Elia), green certificates and combined heat and power certificates, providing the market with a transparent reference price. Belpex is a premier innovator in the design of coupled short term power markets, targeting a European wide liberalized electricity market. </w:t>
      </w:r>
    </w:p>
    <w:p w:rsidR="00227808" w:rsidRPr="00B23458" w:rsidRDefault="00227808" w:rsidP="00227808">
      <w:pPr>
        <w:rPr>
          <w:rFonts w:ascii="Arial" w:hAnsi="Arial" w:cs="Arial"/>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 xml:space="preserve">The shareholders of Belpex are APX (10%), Powernext (10%), RTE (10%), TenneT (10%) and Elia (60%). </w:t>
      </w:r>
    </w:p>
    <w:p w:rsidR="00227808" w:rsidRPr="00B23458" w:rsidRDefault="00227808" w:rsidP="00227808">
      <w:pPr>
        <w:rPr>
          <w:rFonts w:ascii="Arial" w:hAnsi="Arial" w:cs="Arial"/>
          <w:b/>
          <w:color w:val="0070C0"/>
          <w:sz w:val="22"/>
          <w:lang w:val="en-US"/>
        </w:rPr>
      </w:pPr>
    </w:p>
    <w:p w:rsidR="00227808" w:rsidRDefault="00227808" w:rsidP="00227808">
      <w:pPr>
        <w:rPr>
          <w:rFonts w:ascii="Arial" w:hAnsi="Arial" w:cs="Arial"/>
          <w:b/>
          <w:color w:val="33CC33"/>
          <w:sz w:val="22"/>
          <w:u w:val="single"/>
          <w:lang w:val="en-US"/>
        </w:rPr>
      </w:pPr>
      <w:hyperlink r:id="rId14" w:history="1">
        <w:r w:rsidRPr="00BF5C82">
          <w:rPr>
            <w:rStyle w:val="Lienhypertexte"/>
            <w:rFonts w:ascii="Arial" w:hAnsi="Arial" w:cs="Arial"/>
            <w:b/>
            <w:sz w:val="22"/>
            <w:lang w:val="en-US"/>
          </w:rPr>
          <w:t>http://www.belpex.be</w:t>
        </w:r>
      </w:hyperlink>
    </w:p>
    <w:p w:rsidR="00227808" w:rsidRDefault="00227808" w:rsidP="00227808">
      <w:pPr>
        <w:rPr>
          <w:rFonts w:ascii="Arial" w:hAnsi="Arial" w:cs="Arial"/>
          <w:b/>
          <w:color w:val="33CC33"/>
          <w:sz w:val="22"/>
          <w:u w:val="single"/>
          <w:lang w:val="en-US"/>
        </w:rPr>
      </w:pPr>
    </w:p>
    <w:p w:rsidR="00227808" w:rsidRDefault="00227808" w:rsidP="00227808">
      <w:pPr>
        <w:rPr>
          <w:rFonts w:ascii="Arial" w:hAnsi="Arial" w:cs="Arial"/>
          <w:b/>
          <w:color w:val="33CC33"/>
          <w:sz w:val="22"/>
          <w:u w:val="single"/>
          <w:lang w:val="en-US"/>
        </w:rPr>
      </w:pPr>
    </w:p>
    <w:p w:rsidR="00227808" w:rsidRPr="00B23458" w:rsidRDefault="00227808" w:rsidP="00227808">
      <w:pPr>
        <w:rPr>
          <w:rFonts w:ascii="Arial" w:hAnsi="Arial" w:cs="Arial"/>
          <w:b/>
          <w:color w:val="33CC33"/>
          <w:sz w:val="22"/>
          <w:u w:val="single"/>
          <w:lang w:val="en-US"/>
        </w:rPr>
      </w:pPr>
    </w:p>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b/>
          <w:color w:val="0070C0"/>
          <w:sz w:val="22"/>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227808" w:rsidRPr="00B23458" w:rsidTr="00AE444A">
        <w:tc>
          <w:tcPr>
            <w:tcW w:w="4606" w:type="dxa"/>
          </w:tcPr>
          <w:p w:rsidR="00227808" w:rsidRPr="00B23458" w:rsidRDefault="00227808" w:rsidP="00AE444A">
            <w:pPr>
              <w:rPr>
                <w:rFonts w:ascii="Arial" w:hAnsi="Arial" w:cs="Arial"/>
                <w:b/>
                <w:color w:val="0070C0"/>
                <w:sz w:val="22"/>
                <w:lang w:val="en-US"/>
              </w:rPr>
            </w:pPr>
            <w:r w:rsidRPr="00B23458">
              <w:rPr>
                <w:rFonts w:ascii="Arial" w:hAnsi="Arial" w:cs="Arial"/>
                <w:b/>
                <w:color w:val="0070C0"/>
                <w:sz w:val="22"/>
                <w:lang w:val="en-US"/>
              </w:rPr>
              <w:t>About ECC</w:t>
            </w:r>
          </w:p>
        </w:tc>
        <w:tc>
          <w:tcPr>
            <w:tcW w:w="4606" w:type="dxa"/>
          </w:tcPr>
          <w:p w:rsidR="00227808" w:rsidRPr="00B23458" w:rsidRDefault="00227808" w:rsidP="00AE444A">
            <w:pPr>
              <w:jc w:val="right"/>
              <w:rPr>
                <w:rFonts w:ascii="Arial" w:hAnsi="Arial" w:cs="Arial"/>
                <w:b/>
                <w:color w:val="0070C0"/>
                <w:sz w:val="22"/>
                <w:lang w:val="en-US"/>
              </w:rPr>
            </w:pPr>
            <w:r w:rsidRPr="00B23458">
              <w:rPr>
                <w:rFonts w:ascii="Arial" w:hAnsi="Arial" w:cs="Arial"/>
                <w:b/>
                <w:noProof/>
                <w:color w:val="0070C0"/>
                <w:sz w:val="22"/>
                <w:lang w:eastAsia="fr-FR"/>
              </w:rPr>
              <w:drawing>
                <wp:inline distT="0" distB="0" distL="0" distR="0">
                  <wp:extent cx="352425" cy="342900"/>
                  <wp:effectExtent l="19050" t="0" r="9525" b="0"/>
                  <wp:docPr id="7" name="Image 5" descr="Logo_ECC"/>
                  <wp:cNvGraphicFramePr/>
                  <a:graphic xmlns:a="http://schemas.openxmlformats.org/drawingml/2006/main">
                    <a:graphicData uri="http://schemas.openxmlformats.org/drawingml/2006/picture">
                      <pic:pic xmlns:pic="http://schemas.openxmlformats.org/drawingml/2006/picture">
                        <pic:nvPicPr>
                          <pic:cNvPr id="2051" name="Picture 5" descr="Logo_ECC"/>
                          <pic:cNvPicPr>
                            <a:picLocks noChangeAspect="1" noChangeArrowheads="1"/>
                          </pic:cNvPicPr>
                        </pic:nvPicPr>
                        <pic:blipFill>
                          <a:blip r:embed="rId15" cstate="print"/>
                          <a:srcRect/>
                          <a:stretch>
                            <a:fillRect/>
                          </a:stretch>
                        </pic:blipFill>
                        <pic:spPr bwMode="auto">
                          <a:xfrm>
                            <a:off x="0" y="0"/>
                            <a:ext cx="352425" cy="342900"/>
                          </a:xfrm>
                          <a:prstGeom prst="rect">
                            <a:avLst/>
                          </a:prstGeom>
                          <a:noFill/>
                          <a:ln w="9525">
                            <a:noFill/>
                            <a:miter lim="800000"/>
                            <a:headEnd/>
                            <a:tailEnd/>
                          </a:ln>
                        </pic:spPr>
                      </pic:pic>
                    </a:graphicData>
                  </a:graphic>
                </wp:inline>
              </w:drawing>
            </w:r>
          </w:p>
        </w:tc>
      </w:tr>
    </w:tbl>
    <w:p w:rsidR="00227808" w:rsidRPr="00B23458" w:rsidRDefault="00227808" w:rsidP="00227808">
      <w:pPr>
        <w:rPr>
          <w:rFonts w:ascii="Arial" w:hAnsi="Arial" w:cs="Arial"/>
          <w:b/>
          <w:color w:val="0070C0"/>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 xml:space="preserve">European Commodity Clearing AG (ECC) operates a Clearing House for energy-related commodities and their derivatives. Its vision is to become the Clearing House of choice for these products. </w:t>
      </w:r>
    </w:p>
    <w:p w:rsidR="00227808" w:rsidRPr="00B23458" w:rsidRDefault="00227808" w:rsidP="00227808">
      <w:pPr>
        <w:rPr>
          <w:rFonts w:ascii="Arial" w:hAnsi="Arial" w:cs="Arial"/>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 xml:space="preserve">Currently, ECC provides clearing services for contracts traded on EEX, EEX Power Derivatives, Endex, EPEX Spot and Powernext, as well as for over-the-counter (OTC) trades registered via these exchanges. Founded in 2006, ECC currently offers clearing services for the following commodities: German, French, Austrian, Swiss, Belgian and Dutch power, emission rights, coal, and natural gas. </w:t>
      </w:r>
    </w:p>
    <w:p w:rsidR="00227808" w:rsidRPr="00B23458" w:rsidRDefault="00227808" w:rsidP="00227808">
      <w:pPr>
        <w:rPr>
          <w:rFonts w:ascii="Arial" w:hAnsi="Arial" w:cs="Arial"/>
          <w:sz w:val="22"/>
          <w:lang w:val="en-US"/>
        </w:rPr>
      </w:pPr>
    </w:p>
    <w:p w:rsidR="00227808" w:rsidRPr="00B23458" w:rsidRDefault="00227808" w:rsidP="00227808">
      <w:pPr>
        <w:rPr>
          <w:rFonts w:ascii="Arial" w:hAnsi="Arial" w:cs="Arial"/>
          <w:sz w:val="22"/>
          <w:lang w:val="en-US"/>
        </w:rPr>
      </w:pPr>
      <w:r w:rsidRPr="00B23458">
        <w:rPr>
          <w:rFonts w:ascii="Arial" w:hAnsi="Arial" w:cs="Arial"/>
          <w:sz w:val="22"/>
          <w:lang w:val="en-US"/>
        </w:rPr>
        <w:t xml:space="preserve">ECC is constantly expanding its range of products, its clearing membership and its exchange partnership network. </w:t>
      </w:r>
    </w:p>
    <w:p w:rsidR="00227808" w:rsidRPr="00B23458" w:rsidRDefault="00227808" w:rsidP="00227808">
      <w:pPr>
        <w:rPr>
          <w:rFonts w:ascii="Arial" w:hAnsi="Arial" w:cs="Arial"/>
          <w:sz w:val="22"/>
          <w:lang w:val="en-US"/>
        </w:rPr>
      </w:pPr>
    </w:p>
    <w:p w:rsidR="00227808" w:rsidRPr="00B03A7A" w:rsidRDefault="00227808" w:rsidP="00227808">
      <w:pPr>
        <w:rPr>
          <w:rFonts w:ascii="Arial" w:hAnsi="Arial" w:cs="Arial"/>
          <w:b/>
          <w:color w:val="33CC33"/>
          <w:sz w:val="22"/>
          <w:u w:val="single"/>
          <w:lang w:val="en-US"/>
        </w:rPr>
      </w:pPr>
      <w:hyperlink r:id="rId16" w:history="1">
        <w:r w:rsidRPr="00BF5C82">
          <w:rPr>
            <w:rStyle w:val="Lienhypertexte"/>
            <w:rFonts w:ascii="Arial" w:hAnsi="Arial" w:cs="Arial"/>
            <w:b/>
            <w:sz w:val="22"/>
            <w:lang w:val="en-US"/>
          </w:rPr>
          <w:t>http://www.ecc.de</w:t>
        </w:r>
      </w:hyperlink>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r>
        <w:rPr>
          <w:rFonts w:ascii="Arial" w:hAnsi="Arial" w:cs="Arial"/>
          <w:sz w:val="22"/>
          <w:lang w:val="en-US"/>
        </w:rPr>
        <w:t>*</w:t>
      </w:r>
    </w:p>
    <w:p w:rsidR="00227808" w:rsidRDefault="00227808" w:rsidP="00227808"/>
    <w:p w:rsidR="00227808" w:rsidRPr="004263E7" w:rsidRDefault="00227808" w:rsidP="00227808">
      <w:pPr>
        <w:jc w:val="center"/>
        <w:rPr>
          <w:rFonts w:ascii="Arial" w:hAnsi="Arial" w:cs="Arial"/>
          <w:b/>
          <w:color w:val="0090D4"/>
          <w:sz w:val="36"/>
          <w:szCs w:val="36"/>
          <w:lang w:val="en-US"/>
        </w:rPr>
      </w:pPr>
      <w:r w:rsidRPr="004263E7">
        <w:rPr>
          <w:rFonts w:ascii="Arial" w:hAnsi="Arial" w:cs="Arial"/>
          <w:b/>
          <w:color w:val="0090D4"/>
          <w:sz w:val="36"/>
          <w:szCs w:val="36"/>
          <w:lang w:val="en-US"/>
        </w:rPr>
        <w:lastRenderedPageBreak/>
        <w:t>Shareholders</w:t>
      </w:r>
    </w:p>
    <w:p w:rsidR="00227808" w:rsidRPr="00AA1B76" w:rsidRDefault="00227808" w:rsidP="00227808">
      <w:pPr>
        <w:spacing w:before="120" w:line="360" w:lineRule="auto"/>
        <w:rPr>
          <w:rFonts w:ascii="Arial" w:eastAsia="Times New Roman" w:hAnsi="Arial" w:cs="Arial"/>
          <w:iCs/>
          <w:sz w:val="22"/>
          <w:lang w:val="en-US" w:eastAsia="de-DE"/>
        </w:rPr>
      </w:pPr>
    </w:p>
    <w:p w:rsidR="00227808" w:rsidRDefault="00227808" w:rsidP="00227808">
      <w:pPr>
        <w:rPr>
          <w:rFonts w:cs="Tahoma"/>
          <w:szCs w:val="20"/>
          <w:lang w:val="en-US"/>
        </w:rPr>
      </w:pPr>
    </w:p>
    <w:p w:rsidR="00227808" w:rsidRPr="00A73268" w:rsidRDefault="00227808" w:rsidP="00227808">
      <w:pPr>
        <w:rPr>
          <w:rFonts w:ascii="Arial" w:hAnsi="Arial" w:cs="Arial"/>
          <w:sz w:val="22"/>
          <w:lang w:val="en-US"/>
        </w:rPr>
      </w:pPr>
      <w:r w:rsidRPr="00A73268">
        <w:rPr>
          <w:rFonts w:ascii="Arial" w:hAnsi="Arial" w:cs="Arial"/>
          <w:sz w:val="22"/>
          <w:lang w:val="en-US"/>
        </w:rPr>
        <w:t xml:space="preserve">Powernext capital of 11 741 680 € is </w:t>
      </w:r>
      <w:r>
        <w:rPr>
          <w:rFonts w:ascii="Arial" w:hAnsi="Arial" w:cs="Arial"/>
          <w:sz w:val="22"/>
          <w:lang w:val="en-US"/>
        </w:rPr>
        <w:t>held</w:t>
      </w:r>
      <w:r w:rsidRPr="00A73268">
        <w:rPr>
          <w:rFonts w:ascii="Arial" w:hAnsi="Arial" w:cs="Arial"/>
          <w:sz w:val="22"/>
          <w:lang w:val="en-US"/>
        </w:rPr>
        <w:t xml:space="preserve"> by a group of European transmission system operators in electricity and natural gas, and European energy utilities.</w:t>
      </w:r>
    </w:p>
    <w:p w:rsidR="00227808" w:rsidRDefault="00227808" w:rsidP="00227808">
      <w:pPr>
        <w:rPr>
          <w:rFonts w:ascii="Arial" w:hAnsi="Arial" w:cs="Arial"/>
          <w:sz w:val="22"/>
          <w:lang w:val="en-US"/>
        </w:rPr>
      </w:pPr>
    </w:p>
    <w:p w:rsidR="00227808" w:rsidRDefault="00227808" w:rsidP="00227808">
      <w:pPr>
        <w:rPr>
          <w:rFonts w:ascii="Arial" w:hAnsi="Arial" w:cs="Arial"/>
          <w:sz w:val="22"/>
          <w:lang w:val="en-US"/>
        </w:rPr>
      </w:pPr>
    </w:p>
    <w:p w:rsidR="00227808" w:rsidRPr="00A73268" w:rsidRDefault="00227808" w:rsidP="00227808">
      <w:pPr>
        <w:rPr>
          <w:rFonts w:ascii="Arial" w:hAnsi="Arial" w:cs="Arial"/>
          <w:sz w:val="22"/>
          <w:lang w:val="en-US"/>
        </w:rPr>
      </w:pPr>
    </w:p>
    <w:p w:rsidR="00227808" w:rsidRPr="00A73268" w:rsidRDefault="00227808" w:rsidP="00227808">
      <w:pPr>
        <w:jc w:val="center"/>
        <w:rPr>
          <w:rFonts w:ascii="Arial" w:hAnsi="Arial" w:cs="Arial"/>
          <w:sz w:val="22"/>
          <w:lang w:val="en-US"/>
        </w:rPr>
      </w:pPr>
      <w:r w:rsidRPr="00A73268">
        <w:rPr>
          <w:rFonts w:ascii="Arial" w:hAnsi="Arial" w:cs="Arial"/>
          <w:noProof/>
          <w:sz w:val="22"/>
          <w:lang w:eastAsia="fr-FR"/>
        </w:rPr>
        <w:drawing>
          <wp:inline distT="0" distB="0" distL="0" distR="0">
            <wp:extent cx="3712459" cy="2752725"/>
            <wp:effectExtent l="19050" t="0" r="2291" b="0"/>
            <wp:docPr id="9" name="Image 0" descr="Actionnaires2008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Actionnaires2008fr.jpg"/>
                    <pic:cNvPicPr>
                      <a:picLocks noChangeAspect="1" noChangeArrowheads="1"/>
                    </pic:cNvPicPr>
                  </pic:nvPicPr>
                  <pic:blipFill>
                    <a:blip r:embed="rId17" r:link="rId18"/>
                    <a:srcRect/>
                    <a:stretch>
                      <a:fillRect/>
                    </a:stretch>
                  </pic:blipFill>
                  <pic:spPr bwMode="auto">
                    <a:xfrm>
                      <a:off x="0" y="0"/>
                      <a:ext cx="3723034" cy="2760566"/>
                    </a:xfrm>
                    <a:prstGeom prst="rect">
                      <a:avLst/>
                    </a:prstGeom>
                    <a:noFill/>
                    <a:ln w="9525">
                      <a:noFill/>
                      <a:miter lim="800000"/>
                      <a:headEnd/>
                      <a:tailEnd/>
                    </a:ln>
                  </pic:spPr>
                </pic:pic>
              </a:graphicData>
            </a:graphic>
          </wp:inline>
        </w:drawing>
      </w:r>
    </w:p>
    <w:p w:rsidR="00227808" w:rsidRPr="00A73268" w:rsidRDefault="00227808" w:rsidP="00227808">
      <w:pPr>
        <w:rPr>
          <w:rFonts w:ascii="Arial" w:hAnsi="Arial" w:cs="Arial"/>
          <w:sz w:val="22"/>
          <w:lang w:val="en-US"/>
        </w:rPr>
      </w:pPr>
    </w:p>
    <w:p w:rsidR="00227808" w:rsidRPr="00A73268" w:rsidRDefault="00227808" w:rsidP="00227808">
      <w:pPr>
        <w:rPr>
          <w:rFonts w:ascii="Arial" w:hAnsi="Arial" w:cs="Arial"/>
          <w:sz w:val="22"/>
          <w:lang w:val="en-US"/>
        </w:rPr>
      </w:pPr>
    </w:p>
    <w:p w:rsidR="00227808" w:rsidRDefault="00227808" w:rsidP="00227808">
      <w:pPr>
        <w:rPr>
          <w:rFonts w:ascii="Arial" w:hAnsi="Arial" w:cs="Arial"/>
          <w:b/>
          <w:color w:val="00B0F0"/>
          <w:sz w:val="22"/>
          <w:lang w:val="en-US"/>
        </w:rPr>
      </w:pPr>
    </w:p>
    <w:p w:rsidR="00227808" w:rsidRDefault="00227808" w:rsidP="00227808">
      <w:pPr>
        <w:rPr>
          <w:rFonts w:ascii="Arial" w:hAnsi="Arial" w:cs="Arial"/>
          <w:b/>
          <w:color w:val="0070C0"/>
          <w:sz w:val="22"/>
          <w:lang w:val="en-US"/>
        </w:rPr>
      </w:pPr>
    </w:p>
    <w:p w:rsidR="00227808" w:rsidRPr="007E75BF" w:rsidRDefault="00227808" w:rsidP="00227808">
      <w:pPr>
        <w:rPr>
          <w:rFonts w:ascii="Arial" w:hAnsi="Arial" w:cs="Arial"/>
          <w:b/>
          <w:color w:val="0070C0"/>
          <w:sz w:val="22"/>
          <w:lang w:val="en-US"/>
        </w:rPr>
      </w:pPr>
      <w:r w:rsidRPr="007E75BF">
        <w:rPr>
          <w:rFonts w:ascii="Arial" w:hAnsi="Arial" w:cs="Arial"/>
          <w:b/>
          <w:color w:val="0070C0"/>
          <w:sz w:val="22"/>
          <w:lang w:val="en-US"/>
        </w:rPr>
        <w:t>Electricity transmission system operators</w:t>
      </w:r>
    </w:p>
    <w:p w:rsidR="00227808" w:rsidRPr="00A73268" w:rsidRDefault="00227808" w:rsidP="00227808">
      <w:pPr>
        <w:rPr>
          <w:rFonts w:ascii="Arial" w:hAnsi="Arial" w:cs="Arial"/>
          <w:sz w:val="22"/>
          <w:lang w:val="en-US"/>
        </w:rPr>
      </w:pPr>
    </w:p>
    <w:p w:rsidR="00227808" w:rsidRPr="00A73268" w:rsidRDefault="00227808" w:rsidP="00227808">
      <w:pPr>
        <w:rPr>
          <w:rFonts w:ascii="Arial" w:hAnsi="Arial" w:cs="Arial"/>
          <w:sz w:val="22"/>
          <w:lang w:val="en-US"/>
        </w:rPr>
      </w:pPr>
      <w:r w:rsidRPr="00A73268">
        <w:rPr>
          <w:rFonts w:ascii="Arial" w:hAnsi="Arial" w:cs="Arial"/>
          <w:sz w:val="22"/>
          <w:lang w:val="en-US"/>
        </w:rPr>
        <w:t>HGRT is a holding of European transmission system operators:</w:t>
      </w:r>
    </w:p>
    <w:p w:rsidR="00227808" w:rsidRPr="00A73268" w:rsidRDefault="00227808" w:rsidP="00227808">
      <w:pPr>
        <w:rPr>
          <w:rFonts w:ascii="Arial" w:hAnsi="Arial" w:cs="Arial"/>
          <w:sz w:val="22"/>
          <w:lang w:val="en-US"/>
        </w:rPr>
      </w:pPr>
    </w:p>
    <w:tbl>
      <w:tblPr>
        <w:tblStyle w:val="Grilledutableau"/>
        <w:tblW w:w="0" w:type="auto"/>
        <w:jc w:val="center"/>
        <w:tblLook w:val="04A0"/>
      </w:tblPr>
      <w:tblGrid>
        <w:gridCol w:w="1809"/>
        <w:gridCol w:w="1985"/>
      </w:tblGrid>
      <w:tr w:rsidR="00227808" w:rsidRPr="00A73268" w:rsidTr="00AE444A">
        <w:trPr>
          <w:trHeight w:val="491"/>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Elia</w:t>
            </w:r>
          </w:p>
        </w:tc>
        <w:tc>
          <w:tcPr>
            <w:tcW w:w="1985" w:type="dxa"/>
          </w:tcPr>
          <w:p w:rsidR="00227808" w:rsidRPr="00A73268" w:rsidRDefault="00227808" w:rsidP="00AE444A">
            <w:pPr>
              <w:rPr>
                <w:rFonts w:ascii="Arial" w:hAnsi="Arial" w:cs="Arial"/>
                <w:sz w:val="22"/>
                <w:lang w:val="en-US"/>
              </w:rPr>
            </w:pPr>
            <w:hyperlink r:id="rId19" w:history="1">
              <w:r w:rsidRPr="00A73268">
                <w:rPr>
                  <w:rStyle w:val="Lienhypertexte"/>
                  <w:rFonts w:ascii="Arial" w:hAnsi="Arial" w:cs="Arial"/>
                  <w:sz w:val="22"/>
                  <w:lang w:val="en-US"/>
                </w:rPr>
                <w:t>Elia</w:t>
              </w:r>
            </w:hyperlink>
          </w:p>
          <w:p w:rsidR="00227808" w:rsidRPr="00A73268" w:rsidRDefault="00227808" w:rsidP="00AE444A">
            <w:pPr>
              <w:rPr>
                <w:rFonts w:ascii="Arial" w:hAnsi="Arial" w:cs="Arial"/>
                <w:sz w:val="22"/>
                <w:lang w:val="en-US"/>
              </w:rPr>
            </w:pPr>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RTE</w:t>
            </w:r>
          </w:p>
        </w:tc>
        <w:tc>
          <w:tcPr>
            <w:tcW w:w="1985" w:type="dxa"/>
          </w:tcPr>
          <w:p w:rsidR="00227808" w:rsidRPr="00A73268" w:rsidRDefault="00227808" w:rsidP="00AE444A">
            <w:pPr>
              <w:rPr>
                <w:rFonts w:ascii="Arial" w:hAnsi="Arial" w:cs="Arial"/>
                <w:sz w:val="22"/>
                <w:lang w:val="en-US"/>
              </w:rPr>
            </w:pPr>
            <w:hyperlink r:id="rId20" w:history="1">
              <w:r w:rsidRPr="00A73268">
                <w:rPr>
                  <w:rStyle w:val="Lienhypertexte"/>
                  <w:rFonts w:ascii="Arial" w:hAnsi="Arial" w:cs="Arial"/>
                  <w:sz w:val="22"/>
                  <w:lang w:val="en-US"/>
                </w:rPr>
                <w:t>RTE</w:t>
              </w:r>
            </w:hyperlink>
          </w:p>
          <w:p w:rsidR="00227808" w:rsidRPr="00A73268" w:rsidRDefault="00227808" w:rsidP="00AE444A">
            <w:pPr>
              <w:rPr>
                <w:rFonts w:ascii="Arial" w:hAnsi="Arial" w:cs="Arial"/>
                <w:sz w:val="22"/>
                <w:lang w:val="en-US"/>
              </w:rPr>
            </w:pPr>
          </w:p>
        </w:tc>
      </w:tr>
      <w:tr w:rsidR="00227808" w:rsidRPr="00A73268" w:rsidTr="00AE444A">
        <w:trPr>
          <w:trHeight w:val="272"/>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TenneT</w:t>
            </w:r>
          </w:p>
        </w:tc>
        <w:tc>
          <w:tcPr>
            <w:tcW w:w="1985" w:type="dxa"/>
          </w:tcPr>
          <w:p w:rsidR="00227808" w:rsidRPr="00A73268" w:rsidRDefault="00227808" w:rsidP="00AE444A">
            <w:pPr>
              <w:rPr>
                <w:rFonts w:ascii="Arial" w:hAnsi="Arial" w:cs="Arial"/>
                <w:sz w:val="22"/>
                <w:lang w:val="en-US"/>
              </w:rPr>
            </w:pPr>
            <w:hyperlink r:id="rId21" w:history="1">
              <w:r w:rsidRPr="00A73268">
                <w:rPr>
                  <w:rStyle w:val="Lienhypertexte"/>
                  <w:rFonts w:ascii="Arial" w:hAnsi="Arial" w:cs="Arial"/>
                  <w:sz w:val="22"/>
                  <w:lang w:val="en-US"/>
                </w:rPr>
                <w:t>TenneT</w:t>
              </w:r>
            </w:hyperlink>
          </w:p>
          <w:p w:rsidR="00227808" w:rsidRPr="00A73268" w:rsidRDefault="00227808" w:rsidP="00AE444A">
            <w:pPr>
              <w:rPr>
                <w:rFonts w:ascii="Arial" w:hAnsi="Arial" w:cs="Arial"/>
                <w:sz w:val="22"/>
                <w:lang w:val="en-US"/>
              </w:rPr>
            </w:pPr>
          </w:p>
        </w:tc>
      </w:tr>
    </w:tbl>
    <w:p w:rsidR="00227808" w:rsidRPr="00A73268" w:rsidRDefault="00227808" w:rsidP="00227808">
      <w:pPr>
        <w:rPr>
          <w:rFonts w:ascii="Arial" w:hAnsi="Arial" w:cs="Arial"/>
          <w:sz w:val="22"/>
          <w:lang w:val="en-US"/>
        </w:rPr>
      </w:pPr>
    </w:p>
    <w:p w:rsidR="00227808" w:rsidRDefault="00227808" w:rsidP="00227808">
      <w:pPr>
        <w:spacing w:after="200" w:line="276" w:lineRule="auto"/>
        <w:jc w:val="left"/>
        <w:rPr>
          <w:rFonts w:ascii="Arial" w:hAnsi="Arial" w:cs="Arial"/>
          <w:b/>
          <w:color w:val="0070C0"/>
          <w:sz w:val="22"/>
          <w:lang w:val="en-US"/>
        </w:rPr>
      </w:pPr>
      <w:r>
        <w:rPr>
          <w:rFonts w:ascii="Arial" w:hAnsi="Arial" w:cs="Arial"/>
          <w:b/>
          <w:color w:val="0070C0"/>
          <w:sz w:val="22"/>
          <w:lang w:val="en-US"/>
        </w:rPr>
        <w:br w:type="page"/>
      </w:r>
    </w:p>
    <w:p w:rsidR="00227808" w:rsidRDefault="00227808" w:rsidP="00227808">
      <w:pPr>
        <w:rPr>
          <w:rFonts w:ascii="Arial" w:hAnsi="Arial" w:cs="Arial"/>
          <w:b/>
          <w:color w:val="0070C0"/>
          <w:sz w:val="22"/>
          <w:lang w:val="en-US"/>
        </w:rPr>
      </w:pPr>
    </w:p>
    <w:p w:rsidR="00227808" w:rsidRPr="007E75BF" w:rsidRDefault="00227808" w:rsidP="00227808">
      <w:pPr>
        <w:rPr>
          <w:rFonts w:ascii="Arial" w:hAnsi="Arial" w:cs="Arial"/>
          <w:b/>
          <w:color w:val="0070C0"/>
          <w:sz w:val="22"/>
          <w:lang w:val="en-US"/>
        </w:rPr>
      </w:pPr>
      <w:r w:rsidRPr="007E75BF">
        <w:rPr>
          <w:rFonts w:ascii="Arial" w:hAnsi="Arial" w:cs="Arial"/>
          <w:b/>
          <w:color w:val="0070C0"/>
          <w:sz w:val="22"/>
          <w:lang w:val="en-US"/>
        </w:rPr>
        <w:t>Natural gas transmission operators</w:t>
      </w:r>
    </w:p>
    <w:p w:rsidR="00227808" w:rsidRPr="00A73268" w:rsidRDefault="00227808" w:rsidP="00227808">
      <w:pPr>
        <w:rPr>
          <w:rFonts w:ascii="Arial" w:hAnsi="Arial" w:cs="Arial"/>
          <w:b/>
          <w:sz w:val="22"/>
          <w:lang w:val="en-US"/>
        </w:rPr>
      </w:pPr>
    </w:p>
    <w:tbl>
      <w:tblPr>
        <w:tblStyle w:val="Grilledutableau"/>
        <w:tblW w:w="0" w:type="auto"/>
        <w:jc w:val="center"/>
        <w:tblLook w:val="04A0"/>
      </w:tblPr>
      <w:tblGrid>
        <w:gridCol w:w="1809"/>
        <w:gridCol w:w="1985"/>
      </w:tblGrid>
      <w:tr w:rsidR="00227808" w:rsidRPr="00A73268" w:rsidTr="00AE444A">
        <w:trPr>
          <w:trHeight w:val="491"/>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GRTgaz</w:t>
            </w:r>
          </w:p>
        </w:tc>
        <w:tc>
          <w:tcPr>
            <w:tcW w:w="1985" w:type="dxa"/>
          </w:tcPr>
          <w:p w:rsidR="00227808" w:rsidRPr="00A73268" w:rsidRDefault="00227808" w:rsidP="00AE444A">
            <w:pPr>
              <w:rPr>
                <w:rFonts w:ascii="Arial" w:hAnsi="Arial" w:cs="Arial"/>
                <w:sz w:val="22"/>
                <w:lang w:val="en-US"/>
              </w:rPr>
            </w:pPr>
            <w:hyperlink r:id="rId22" w:history="1">
              <w:r w:rsidRPr="00A73268">
                <w:rPr>
                  <w:rStyle w:val="Lienhypertexte"/>
                  <w:rFonts w:ascii="Arial" w:hAnsi="Arial" w:cs="Arial"/>
                  <w:sz w:val="22"/>
                  <w:lang w:val="en-US"/>
                </w:rPr>
                <w:t>GRTgaz</w:t>
              </w:r>
            </w:hyperlink>
          </w:p>
          <w:p w:rsidR="00227808" w:rsidRPr="00A73268" w:rsidRDefault="00227808" w:rsidP="00AE444A">
            <w:pPr>
              <w:rPr>
                <w:rFonts w:ascii="Arial" w:hAnsi="Arial" w:cs="Arial"/>
                <w:sz w:val="22"/>
                <w:lang w:val="en-US"/>
              </w:rPr>
            </w:pPr>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TIGF</w:t>
            </w:r>
          </w:p>
        </w:tc>
        <w:tc>
          <w:tcPr>
            <w:tcW w:w="1985" w:type="dxa"/>
          </w:tcPr>
          <w:p w:rsidR="00227808" w:rsidRPr="00A73268" w:rsidRDefault="00227808" w:rsidP="00AE444A">
            <w:pPr>
              <w:rPr>
                <w:rFonts w:ascii="Arial" w:hAnsi="Arial" w:cs="Arial"/>
                <w:sz w:val="22"/>
                <w:lang w:val="en-US"/>
              </w:rPr>
            </w:pPr>
            <w:hyperlink r:id="rId23" w:history="1">
              <w:r w:rsidRPr="00A73268">
                <w:rPr>
                  <w:rStyle w:val="Lienhypertexte"/>
                  <w:rFonts w:ascii="Arial" w:hAnsi="Arial" w:cs="Arial"/>
                  <w:sz w:val="22"/>
                  <w:lang w:val="en-US"/>
                </w:rPr>
                <w:t>TIGF</w:t>
              </w:r>
            </w:hyperlink>
          </w:p>
          <w:p w:rsidR="00227808" w:rsidRPr="00A73268" w:rsidRDefault="00227808" w:rsidP="00AE444A">
            <w:pPr>
              <w:rPr>
                <w:rFonts w:ascii="Arial" w:hAnsi="Arial" w:cs="Arial"/>
                <w:sz w:val="22"/>
                <w:lang w:val="en-US"/>
              </w:rPr>
            </w:pPr>
          </w:p>
        </w:tc>
      </w:tr>
    </w:tbl>
    <w:p w:rsidR="00227808" w:rsidRPr="00A73268" w:rsidRDefault="00227808" w:rsidP="00227808">
      <w:pPr>
        <w:rPr>
          <w:rFonts w:ascii="Arial" w:hAnsi="Arial" w:cs="Arial"/>
          <w:sz w:val="22"/>
          <w:lang w:val="en-US"/>
        </w:rPr>
      </w:pPr>
    </w:p>
    <w:p w:rsidR="00227808" w:rsidRDefault="00227808" w:rsidP="00227808">
      <w:pPr>
        <w:rPr>
          <w:rFonts w:ascii="Arial" w:hAnsi="Arial" w:cs="Arial"/>
          <w:b/>
          <w:color w:val="0070C0"/>
          <w:sz w:val="22"/>
          <w:lang w:val="en-US"/>
        </w:rPr>
      </w:pPr>
    </w:p>
    <w:p w:rsidR="00227808" w:rsidRDefault="00227808" w:rsidP="00227808">
      <w:pPr>
        <w:rPr>
          <w:rFonts w:ascii="Arial" w:hAnsi="Arial" w:cs="Arial"/>
          <w:b/>
          <w:color w:val="0070C0"/>
          <w:sz w:val="22"/>
          <w:lang w:val="en-US"/>
        </w:rPr>
      </w:pPr>
    </w:p>
    <w:p w:rsidR="00227808" w:rsidRDefault="00227808" w:rsidP="00227808">
      <w:pPr>
        <w:rPr>
          <w:rFonts w:ascii="Arial" w:hAnsi="Arial" w:cs="Arial"/>
          <w:b/>
          <w:color w:val="0070C0"/>
          <w:sz w:val="22"/>
          <w:lang w:val="en-US"/>
        </w:rPr>
      </w:pPr>
    </w:p>
    <w:p w:rsidR="00227808" w:rsidRPr="007E75BF" w:rsidRDefault="00227808" w:rsidP="00227808">
      <w:pPr>
        <w:rPr>
          <w:rFonts w:ascii="Arial" w:hAnsi="Arial" w:cs="Arial"/>
          <w:b/>
          <w:color w:val="0070C0"/>
          <w:sz w:val="22"/>
          <w:lang w:val="en-US"/>
        </w:rPr>
      </w:pPr>
      <w:r w:rsidRPr="007E75BF">
        <w:rPr>
          <w:rFonts w:ascii="Arial" w:hAnsi="Arial" w:cs="Arial"/>
          <w:b/>
          <w:color w:val="0070C0"/>
          <w:sz w:val="22"/>
          <w:lang w:val="en-US"/>
        </w:rPr>
        <w:t>Energy utilities</w:t>
      </w:r>
    </w:p>
    <w:p w:rsidR="00227808" w:rsidRPr="00A73268" w:rsidRDefault="00227808" w:rsidP="00227808">
      <w:pPr>
        <w:rPr>
          <w:rFonts w:ascii="Arial" w:hAnsi="Arial" w:cs="Arial"/>
          <w:b/>
          <w:sz w:val="22"/>
          <w:lang w:val="en-US"/>
        </w:rPr>
      </w:pPr>
    </w:p>
    <w:tbl>
      <w:tblPr>
        <w:tblStyle w:val="Grilledutableau"/>
        <w:tblW w:w="0" w:type="auto"/>
        <w:jc w:val="center"/>
        <w:tblLook w:val="04A0"/>
      </w:tblPr>
      <w:tblGrid>
        <w:gridCol w:w="1809"/>
        <w:gridCol w:w="1985"/>
      </w:tblGrid>
      <w:tr w:rsidR="00227808" w:rsidRPr="00A73268" w:rsidTr="00AE444A">
        <w:trPr>
          <w:trHeight w:val="491"/>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Alpiq</w:t>
            </w:r>
          </w:p>
        </w:tc>
        <w:tc>
          <w:tcPr>
            <w:tcW w:w="1985" w:type="dxa"/>
          </w:tcPr>
          <w:p w:rsidR="00227808" w:rsidRPr="00A73268" w:rsidRDefault="00227808" w:rsidP="00AE444A">
            <w:pPr>
              <w:rPr>
                <w:rFonts w:ascii="Arial" w:hAnsi="Arial" w:cs="Arial"/>
                <w:sz w:val="22"/>
                <w:lang w:val="en-US"/>
              </w:rPr>
            </w:pPr>
            <w:hyperlink r:id="rId24" w:history="1">
              <w:r w:rsidRPr="00A73268">
                <w:rPr>
                  <w:rStyle w:val="Lienhypertexte"/>
                  <w:rFonts w:ascii="Arial" w:hAnsi="Arial" w:cs="Arial"/>
                  <w:sz w:val="22"/>
                  <w:lang w:val="en-US"/>
                </w:rPr>
                <w:t>Atel</w:t>
              </w:r>
            </w:hyperlink>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E.ON</w:t>
            </w:r>
          </w:p>
        </w:tc>
        <w:tc>
          <w:tcPr>
            <w:tcW w:w="1985" w:type="dxa"/>
          </w:tcPr>
          <w:p w:rsidR="00227808" w:rsidRPr="00A73268" w:rsidRDefault="00227808" w:rsidP="00AE444A">
            <w:pPr>
              <w:rPr>
                <w:rFonts w:ascii="Arial" w:hAnsi="Arial" w:cs="Arial"/>
                <w:sz w:val="22"/>
                <w:lang w:val="en-US"/>
              </w:rPr>
            </w:pPr>
            <w:hyperlink r:id="rId25" w:history="1">
              <w:r w:rsidRPr="00A73268">
                <w:rPr>
                  <w:rStyle w:val="Lienhypertexte"/>
                  <w:rFonts w:ascii="Arial" w:hAnsi="Arial" w:cs="Arial"/>
                  <w:sz w:val="22"/>
                  <w:lang w:val="en-US"/>
                </w:rPr>
                <w:t>E.ON</w:t>
              </w:r>
            </w:hyperlink>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EDF</w:t>
            </w:r>
          </w:p>
        </w:tc>
        <w:tc>
          <w:tcPr>
            <w:tcW w:w="1985" w:type="dxa"/>
          </w:tcPr>
          <w:p w:rsidR="00227808" w:rsidRPr="00A73268" w:rsidRDefault="00227808" w:rsidP="00AE444A">
            <w:pPr>
              <w:rPr>
                <w:rFonts w:ascii="Arial" w:hAnsi="Arial" w:cs="Arial"/>
                <w:sz w:val="22"/>
                <w:lang w:val="en-US"/>
              </w:rPr>
            </w:pPr>
            <w:hyperlink r:id="rId26" w:history="1">
              <w:r w:rsidRPr="00A73268">
                <w:rPr>
                  <w:rStyle w:val="Lienhypertexte"/>
                  <w:rFonts w:ascii="Arial" w:hAnsi="Arial" w:cs="Arial"/>
                  <w:sz w:val="22"/>
                  <w:lang w:val="en-US"/>
                </w:rPr>
                <w:t>EDF</w:t>
              </w:r>
            </w:hyperlink>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Electrabel</w:t>
            </w:r>
          </w:p>
        </w:tc>
        <w:tc>
          <w:tcPr>
            <w:tcW w:w="1985" w:type="dxa"/>
          </w:tcPr>
          <w:p w:rsidR="00227808" w:rsidRPr="00A73268" w:rsidRDefault="00227808" w:rsidP="00AE444A">
            <w:pPr>
              <w:rPr>
                <w:rFonts w:ascii="Arial" w:hAnsi="Arial" w:cs="Arial"/>
                <w:sz w:val="22"/>
                <w:lang w:val="en-US"/>
              </w:rPr>
            </w:pPr>
            <w:hyperlink r:id="rId27" w:history="1">
              <w:r w:rsidRPr="00A73268">
                <w:rPr>
                  <w:rStyle w:val="Lienhypertexte"/>
                  <w:rFonts w:ascii="Arial" w:hAnsi="Arial" w:cs="Arial"/>
                  <w:sz w:val="22"/>
                  <w:lang w:val="en-US"/>
                </w:rPr>
                <w:t>Electrabel</w:t>
              </w:r>
            </w:hyperlink>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Enel</w:t>
            </w:r>
          </w:p>
        </w:tc>
        <w:tc>
          <w:tcPr>
            <w:tcW w:w="1985" w:type="dxa"/>
          </w:tcPr>
          <w:p w:rsidR="00227808" w:rsidRPr="00A73268" w:rsidRDefault="00227808" w:rsidP="00AE444A">
            <w:pPr>
              <w:rPr>
                <w:rFonts w:ascii="Arial" w:hAnsi="Arial" w:cs="Arial"/>
                <w:sz w:val="22"/>
                <w:lang w:val="en-US"/>
              </w:rPr>
            </w:pPr>
            <w:hyperlink r:id="rId28" w:history="1">
              <w:r w:rsidRPr="00A73268">
                <w:rPr>
                  <w:rStyle w:val="Lienhypertexte"/>
                  <w:rFonts w:ascii="Arial" w:hAnsi="Arial" w:cs="Arial"/>
                  <w:sz w:val="22"/>
                  <w:lang w:val="en-US"/>
                </w:rPr>
                <w:t>Enel</w:t>
              </w:r>
            </w:hyperlink>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GDF-Suez</w:t>
            </w:r>
          </w:p>
        </w:tc>
        <w:tc>
          <w:tcPr>
            <w:tcW w:w="1985" w:type="dxa"/>
          </w:tcPr>
          <w:p w:rsidR="00227808" w:rsidRPr="00A73268" w:rsidRDefault="00227808" w:rsidP="00AE444A">
            <w:pPr>
              <w:rPr>
                <w:rFonts w:ascii="Arial" w:hAnsi="Arial" w:cs="Arial"/>
                <w:sz w:val="22"/>
                <w:lang w:val="en-US"/>
              </w:rPr>
            </w:pPr>
            <w:hyperlink r:id="rId29" w:history="1">
              <w:r w:rsidRPr="00A73268">
                <w:rPr>
                  <w:rStyle w:val="Lienhypertexte"/>
                  <w:rFonts w:ascii="Arial" w:hAnsi="Arial" w:cs="Arial"/>
                  <w:sz w:val="22"/>
                  <w:lang w:val="en-US"/>
                </w:rPr>
                <w:t>GDF-Suez</w:t>
              </w:r>
            </w:hyperlink>
          </w:p>
        </w:tc>
      </w:tr>
      <w:tr w:rsidR="00227808" w:rsidRPr="00A73268" w:rsidTr="00AE444A">
        <w:trPr>
          <w:trHeight w:val="427"/>
          <w:jc w:val="center"/>
        </w:trPr>
        <w:tc>
          <w:tcPr>
            <w:tcW w:w="1809" w:type="dxa"/>
          </w:tcPr>
          <w:p w:rsidR="00227808" w:rsidRPr="00A73268" w:rsidRDefault="00227808" w:rsidP="00AE444A">
            <w:pPr>
              <w:rPr>
                <w:rFonts w:ascii="Arial" w:hAnsi="Arial" w:cs="Arial"/>
                <w:sz w:val="22"/>
                <w:lang w:val="en-US"/>
              </w:rPr>
            </w:pPr>
            <w:r w:rsidRPr="00A73268">
              <w:rPr>
                <w:rFonts w:ascii="Arial" w:hAnsi="Arial" w:cs="Arial"/>
                <w:sz w:val="22"/>
                <w:lang w:val="en-US"/>
              </w:rPr>
              <w:t>Logo Total</w:t>
            </w:r>
          </w:p>
        </w:tc>
        <w:tc>
          <w:tcPr>
            <w:tcW w:w="1985" w:type="dxa"/>
          </w:tcPr>
          <w:p w:rsidR="00227808" w:rsidRPr="00A73268" w:rsidRDefault="00227808" w:rsidP="00AE444A">
            <w:pPr>
              <w:rPr>
                <w:rFonts w:ascii="Arial" w:hAnsi="Arial" w:cs="Arial"/>
                <w:sz w:val="22"/>
                <w:lang w:val="en-US"/>
              </w:rPr>
            </w:pPr>
            <w:hyperlink r:id="rId30" w:history="1">
              <w:r w:rsidRPr="00A73268">
                <w:rPr>
                  <w:rStyle w:val="Lienhypertexte"/>
                  <w:rFonts w:ascii="Arial" w:hAnsi="Arial" w:cs="Arial"/>
                  <w:sz w:val="22"/>
                  <w:lang w:val="en-US"/>
                </w:rPr>
                <w:t>Total</w:t>
              </w:r>
            </w:hyperlink>
          </w:p>
        </w:tc>
      </w:tr>
    </w:tbl>
    <w:p w:rsidR="00227808" w:rsidRPr="00A73268" w:rsidRDefault="00227808" w:rsidP="00227808">
      <w:pPr>
        <w:rPr>
          <w:rFonts w:ascii="Arial" w:hAnsi="Arial" w:cs="Arial"/>
          <w:sz w:val="22"/>
          <w:lang w:val="en-US"/>
        </w:rPr>
      </w:pPr>
    </w:p>
    <w:p w:rsidR="00227808" w:rsidRPr="00B23458" w:rsidRDefault="00227808" w:rsidP="0022780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Pr="00204A41" w:rsidRDefault="00227808" w:rsidP="00227808">
      <w:pPr>
        <w:jc w:val="center"/>
        <w:rPr>
          <w:rFonts w:ascii="Arial" w:hAnsi="Arial" w:cs="Arial"/>
          <w:b/>
          <w:color w:val="0090D4"/>
          <w:sz w:val="36"/>
          <w:szCs w:val="36"/>
          <w:lang w:val="en-US"/>
        </w:rPr>
      </w:pPr>
      <w:r w:rsidRPr="00204A41">
        <w:rPr>
          <w:rFonts w:ascii="Arial" w:hAnsi="Arial" w:cs="Arial"/>
          <w:b/>
          <w:color w:val="0090D4"/>
          <w:sz w:val="36"/>
          <w:szCs w:val="36"/>
          <w:lang w:val="en-US"/>
        </w:rPr>
        <w:t>Company Profile</w:t>
      </w:r>
    </w:p>
    <w:p w:rsidR="00227808" w:rsidRDefault="00227808" w:rsidP="00227808">
      <w:pPr>
        <w:spacing w:before="120" w:line="360" w:lineRule="auto"/>
        <w:rPr>
          <w:rFonts w:ascii="Arial" w:eastAsia="Times New Roman" w:hAnsi="Arial" w:cs="Arial"/>
          <w:iCs/>
          <w:sz w:val="22"/>
          <w:lang w:val="en-US" w:eastAsia="de-DE"/>
        </w:rPr>
      </w:pPr>
    </w:p>
    <w:p w:rsidR="00227808" w:rsidRDefault="00227808" w:rsidP="00227808">
      <w:pPr>
        <w:spacing w:before="120" w:line="360" w:lineRule="auto"/>
        <w:rPr>
          <w:rFonts w:ascii="Arial" w:eastAsia="Times New Roman" w:hAnsi="Arial" w:cs="Arial"/>
          <w:iCs/>
          <w:sz w:val="22"/>
          <w:lang w:val="en-US" w:eastAsia="de-DE"/>
        </w:rPr>
      </w:pPr>
    </w:p>
    <w:p w:rsidR="00227808" w:rsidRPr="00AA1B76" w:rsidRDefault="00227808" w:rsidP="00227808">
      <w:pPr>
        <w:spacing w:before="120" w:line="360" w:lineRule="auto"/>
        <w:rPr>
          <w:rFonts w:ascii="Arial" w:eastAsia="Times New Roman" w:hAnsi="Arial" w:cs="Arial"/>
          <w:iCs/>
          <w:sz w:val="22"/>
          <w:lang w:val="en-US" w:eastAsia="de-DE"/>
        </w:rPr>
      </w:pPr>
    </w:p>
    <w:p w:rsidR="00227808" w:rsidRDefault="00227808" w:rsidP="00227808">
      <w:pPr>
        <w:rPr>
          <w:rFonts w:cs="Tahoma"/>
          <w:szCs w:val="20"/>
          <w:lang w:val="en-US"/>
        </w:rPr>
      </w:pPr>
    </w:p>
    <w:p w:rsidR="00227808" w:rsidRPr="001B7A73" w:rsidRDefault="00227808" w:rsidP="00227808">
      <w:pPr>
        <w:rPr>
          <w:rFonts w:ascii="Arial" w:hAnsi="Arial" w:cs="Arial"/>
          <w:sz w:val="22"/>
          <w:lang w:val="en-US"/>
        </w:rPr>
      </w:pPr>
      <w:r w:rsidRPr="001B7A73">
        <w:rPr>
          <w:rFonts w:ascii="Arial" w:hAnsi="Arial" w:cs="Arial"/>
          <w:sz w:val="22"/>
          <w:lang w:val="en-US"/>
        </w:rPr>
        <w:t xml:space="preserve">Powernext is a regulated investment firm based in Paris and operating under the “multilateral trading facility” (MTF) status. Powernext currently designs and operates electronic trading platforms for spot and derivatives markets in the energy sector. Powernext constantly listens to its customers to enhance its service and deliver it with the highest degree of reliability and integrity. In the future, Powernext plans to broaden its product offer to other areas, on its own or in partnerships with other companies through service provision. </w:t>
      </w:r>
    </w:p>
    <w:p w:rsidR="00227808" w:rsidRDefault="00227808" w:rsidP="00227808">
      <w:pPr>
        <w:rPr>
          <w:rFonts w:ascii="Arial" w:hAnsi="Arial" w:cs="Arial"/>
          <w:sz w:val="22"/>
          <w:lang w:val="en-US"/>
        </w:rPr>
      </w:pPr>
    </w:p>
    <w:p w:rsidR="00227808" w:rsidRPr="001B7A73" w:rsidRDefault="00227808" w:rsidP="00227808">
      <w:pPr>
        <w:rPr>
          <w:rFonts w:ascii="Arial" w:hAnsi="Arial" w:cs="Arial"/>
          <w:sz w:val="22"/>
          <w:lang w:val="en-US"/>
        </w:rPr>
      </w:pPr>
    </w:p>
    <w:p w:rsidR="00227808" w:rsidRPr="001B7A73" w:rsidRDefault="00227808" w:rsidP="00227808">
      <w:pPr>
        <w:rPr>
          <w:rFonts w:ascii="Arial" w:hAnsi="Arial" w:cs="Arial"/>
          <w:sz w:val="22"/>
          <w:lang w:val="en-US"/>
        </w:rPr>
      </w:pPr>
      <w:r w:rsidRPr="001B7A73">
        <w:rPr>
          <w:rFonts w:ascii="Arial" w:hAnsi="Arial" w:cs="Arial"/>
          <w:sz w:val="22"/>
          <w:lang w:val="en-US"/>
        </w:rPr>
        <w:t>30 full-time employees are working for the Powernext holding company in the IT, legal, regulatory, administration, finance, product and business development, communication and sales functions. These employees are serving Powernext’s own markets (Powernext Gas) as well as external parties (EDF for the VPP nomination service, GRTgaz for the Powernext Balancing GRTgaz platform, EPEX Spot and BlueNext) through various service legal agreements.</w:t>
      </w:r>
    </w:p>
    <w:p w:rsidR="00227808" w:rsidRDefault="00227808" w:rsidP="00227808">
      <w:pPr>
        <w:rPr>
          <w:rFonts w:ascii="Arial" w:hAnsi="Arial" w:cs="Arial"/>
          <w:sz w:val="22"/>
          <w:lang w:val="en-US"/>
        </w:rPr>
      </w:pPr>
    </w:p>
    <w:p w:rsidR="00227808" w:rsidRPr="001B7A73" w:rsidRDefault="00227808" w:rsidP="00227808">
      <w:pPr>
        <w:rPr>
          <w:rFonts w:ascii="Arial" w:hAnsi="Arial" w:cs="Arial"/>
          <w:sz w:val="22"/>
          <w:lang w:val="en-US"/>
        </w:rPr>
      </w:pPr>
    </w:p>
    <w:p w:rsidR="00227808" w:rsidRPr="001B7A73" w:rsidRDefault="00227808" w:rsidP="00227808">
      <w:pPr>
        <w:rPr>
          <w:rFonts w:ascii="Arial" w:hAnsi="Arial" w:cs="Arial"/>
          <w:sz w:val="22"/>
          <w:lang w:val="en-US"/>
        </w:rPr>
      </w:pPr>
      <w:r w:rsidRPr="001B7A73">
        <w:rPr>
          <w:rFonts w:ascii="Arial" w:hAnsi="Arial" w:cs="Arial"/>
          <w:sz w:val="22"/>
          <w:lang w:val="en-US"/>
        </w:rPr>
        <w:t>In 2008, Powernext holding company had a turnover of 14.5 million euros and had an operational profit of 4.2 million euros.</w:t>
      </w:r>
    </w:p>
    <w:p w:rsidR="00227808" w:rsidRPr="00B23458" w:rsidRDefault="00227808" w:rsidP="00227808">
      <w:pPr>
        <w:rPr>
          <w:rFonts w:ascii="Arial" w:hAnsi="Arial" w:cs="Arial"/>
          <w:b/>
          <w:color w:val="33CC33"/>
          <w:sz w:val="22"/>
          <w:u w:val="single"/>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Default="00227808" w:rsidP="006D45C8">
      <w:pPr>
        <w:rPr>
          <w:rFonts w:ascii="Arial" w:hAnsi="Arial" w:cs="Arial"/>
          <w:sz w:val="22"/>
          <w:lang w:val="en-US"/>
        </w:rPr>
      </w:pPr>
    </w:p>
    <w:p w:rsidR="00227808" w:rsidRPr="006D45C8" w:rsidRDefault="00227808" w:rsidP="006D45C8">
      <w:pPr>
        <w:rPr>
          <w:rFonts w:ascii="Arial" w:hAnsi="Arial" w:cs="Arial"/>
          <w:sz w:val="22"/>
          <w:lang w:val="en-US"/>
        </w:rPr>
      </w:pPr>
    </w:p>
    <w:sectPr w:rsidR="00227808" w:rsidRPr="006D45C8" w:rsidSect="00E52634">
      <w:headerReference w:type="default" r:id="rId31"/>
      <w:footerReference w:type="default" r:id="rId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B32" w:rsidRDefault="00AA7B32" w:rsidP="0046729D">
      <w:r>
        <w:separator/>
      </w:r>
    </w:p>
  </w:endnote>
  <w:endnote w:type="continuationSeparator" w:id="1">
    <w:p w:rsidR="00AA7B32" w:rsidRDefault="00AA7B32" w:rsidP="004672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547"/>
      <w:docPartObj>
        <w:docPartGallery w:val="Page Numbers (Bottom of Page)"/>
        <w:docPartUnique/>
      </w:docPartObj>
    </w:sdtPr>
    <w:sdtEndPr>
      <w:rPr>
        <w:color w:val="00B0F0"/>
      </w:rPr>
    </w:sdtEndPr>
    <w:sdtContent>
      <w:p w:rsidR="00B23458" w:rsidRDefault="00861103">
        <w:pPr>
          <w:pStyle w:val="Pieddepage"/>
          <w:jc w:val="center"/>
        </w:pPr>
        <w:r w:rsidRPr="00B23458">
          <w:rPr>
            <w:color w:val="00B0F0"/>
          </w:rPr>
          <w:fldChar w:fldCharType="begin"/>
        </w:r>
        <w:r w:rsidR="00B23458" w:rsidRPr="00B23458">
          <w:rPr>
            <w:color w:val="00B0F0"/>
          </w:rPr>
          <w:instrText xml:space="preserve"> PAGE   \* MERGEFORMAT </w:instrText>
        </w:r>
        <w:r w:rsidRPr="00B23458">
          <w:rPr>
            <w:color w:val="00B0F0"/>
          </w:rPr>
          <w:fldChar w:fldCharType="separate"/>
        </w:r>
        <w:r w:rsidR="00227808">
          <w:rPr>
            <w:noProof/>
            <w:color w:val="00B0F0"/>
          </w:rPr>
          <w:t>6</w:t>
        </w:r>
        <w:r w:rsidRPr="00B23458">
          <w:rPr>
            <w:color w:val="00B0F0"/>
          </w:rPr>
          <w:fldChar w:fldCharType="end"/>
        </w:r>
      </w:p>
    </w:sdtContent>
  </w:sdt>
  <w:p w:rsidR="00B23458" w:rsidRDefault="00B234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B32" w:rsidRDefault="00AA7B32" w:rsidP="0046729D">
      <w:r>
        <w:separator/>
      </w:r>
    </w:p>
  </w:footnote>
  <w:footnote w:type="continuationSeparator" w:id="1">
    <w:p w:rsidR="00AA7B32" w:rsidRDefault="00AA7B32" w:rsidP="004672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29D" w:rsidRDefault="0046729D">
    <w:pPr>
      <w:pStyle w:val="En-tte"/>
    </w:pPr>
    <w:r>
      <w:rPr>
        <w:noProof/>
        <w:lang w:eastAsia="fr-FR"/>
      </w:rPr>
      <w:drawing>
        <wp:inline distT="0" distB="0" distL="0" distR="0">
          <wp:extent cx="1428750" cy="1074446"/>
          <wp:effectExtent l="19050" t="0" r="0" b="0"/>
          <wp:docPr id="1" name="Image 0" descr="LogoPowern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owernext.jpg"/>
                  <pic:cNvPicPr/>
                </pic:nvPicPr>
                <pic:blipFill>
                  <a:blip r:embed="rId1"/>
                  <a:stretch>
                    <a:fillRect/>
                  </a:stretch>
                </pic:blipFill>
                <pic:spPr>
                  <a:xfrm>
                    <a:off x="0" y="0"/>
                    <a:ext cx="1433783" cy="1078231"/>
                  </a:xfrm>
                  <a:prstGeom prst="rect">
                    <a:avLst/>
                  </a:prstGeom>
                </pic:spPr>
              </pic:pic>
            </a:graphicData>
          </a:graphic>
        </wp:inline>
      </w:drawing>
    </w:r>
  </w:p>
  <w:p w:rsidR="0046729D" w:rsidRDefault="0046729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2pt;height:12pt" o:bullet="t">
        <v:imagedata r:id="rId1" o:title="puce"/>
      </v:shape>
    </w:pict>
  </w:numPicBullet>
  <w:numPicBullet w:numPicBulletId="1">
    <w:pict>
      <v:shape id="_x0000_i1090" type="#_x0000_t75" style="width:9.75pt;height:11.25pt" o:bullet="t">
        <v:imagedata r:id="rId2" o:title="puce2"/>
      </v:shape>
    </w:pict>
  </w:numPicBullet>
  <w:abstractNum w:abstractNumId="0">
    <w:nsid w:val="019E397B"/>
    <w:multiLevelType w:val="hybridMultilevel"/>
    <w:tmpl w:val="A9BABAF8"/>
    <w:lvl w:ilvl="0" w:tplc="AF9C9B20">
      <w:start w:val="1"/>
      <w:numFmt w:val="bullet"/>
      <w:lvlText w:val=""/>
      <w:lvlPicBulletId w:val="0"/>
      <w:lvlJc w:val="left"/>
      <w:pPr>
        <w:ind w:left="720" w:hanging="360"/>
      </w:pPr>
      <w:rPr>
        <w:rFonts w:ascii="Symbol" w:hAnsi="Symbol" w:hint="default"/>
        <w:color w:val="auto"/>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E50073"/>
    <w:multiLevelType w:val="hybridMultilevel"/>
    <w:tmpl w:val="DE3C6508"/>
    <w:lvl w:ilvl="0" w:tplc="AF9C9B20">
      <w:start w:val="1"/>
      <w:numFmt w:val="bullet"/>
      <w:lvlText w:val=""/>
      <w:lvlPicBulletId w:val="0"/>
      <w:lvlJc w:val="left"/>
      <w:pPr>
        <w:ind w:left="720" w:hanging="360"/>
      </w:pPr>
      <w:rPr>
        <w:rFonts w:ascii="Symbol" w:hAnsi="Symbol" w:hint="default"/>
        <w:color w:val="auto"/>
      </w:rPr>
    </w:lvl>
    <w:lvl w:ilvl="1" w:tplc="7470487E">
      <w:start w:val="1"/>
      <w:numFmt w:val="bullet"/>
      <w:lvlText w:val=""/>
      <w:lvlPicBulletId w:val="1"/>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32568C"/>
    <w:multiLevelType w:val="hybridMultilevel"/>
    <w:tmpl w:val="3CFA9EB8"/>
    <w:lvl w:ilvl="0" w:tplc="AF9C9B20">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6234424"/>
    <w:multiLevelType w:val="hybridMultilevel"/>
    <w:tmpl w:val="9238D760"/>
    <w:lvl w:ilvl="0" w:tplc="7A160778">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AD15E14"/>
    <w:multiLevelType w:val="hybridMultilevel"/>
    <w:tmpl w:val="FD52BF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A513BA"/>
    <w:multiLevelType w:val="hybridMultilevel"/>
    <w:tmpl w:val="CAE429A0"/>
    <w:lvl w:ilvl="0" w:tplc="6AEC5AB8">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33101CBB"/>
    <w:multiLevelType w:val="hybridMultilevel"/>
    <w:tmpl w:val="B86CB326"/>
    <w:lvl w:ilvl="0" w:tplc="AF9C9B20">
      <w:start w:val="1"/>
      <w:numFmt w:val="bullet"/>
      <w:lvlText w:val=""/>
      <w:lvlPicBulletId w:val="0"/>
      <w:lvlJc w:val="left"/>
      <w:pPr>
        <w:ind w:left="720" w:hanging="360"/>
      </w:pPr>
      <w:rPr>
        <w:rFonts w:ascii="Symbol" w:hAnsi="Symbol" w:hint="default"/>
        <w:color w:val="auto"/>
      </w:rPr>
    </w:lvl>
    <w:lvl w:ilvl="1" w:tplc="7470487E">
      <w:start w:val="1"/>
      <w:numFmt w:val="bullet"/>
      <w:lvlText w:val=""/>
      <w:lvlPicBulletId w:val="1"/>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EA45427"/>
    <w:multiLevelType w:val="hybridMultilevel"/>
    <w:tmpl w:val="56847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90C03CE"/>
    <w:multiLevelType w:val="hybridMultilevel"/>
    <w:tmpl w:val="399A1932"/>
    <w:lvl w:ilvl="0" w:tplc="AF9C9B20">
      <w:start w:val="1"/>
      <w:numFmt w:val="bullet"/>
      <w:lvlText w:val=""/>
      <w:lvlPicBulletId w:val="0"/>
      <w:lvlJc w:val="left"/>
      <w:pPr>
        <w:ind w:left="720" w:hanging="360"/>
      </w:pPr>
      <w:rPr>
        <w:rFonts w:ascii="Symbol" w:hAnsi="Symbol" w:hint="default"/>
        <w:color w:val="auto"/>
      </w:rPr>
    </w:lvl>
    <w:lvl w:ilvl="1" w:tplc="7470487E">
      <w:start w:val="1"/>
      <w:numFmt w:val="bullet"/>
      <w:lvlText w:val=""/>
      <w:lvlPicBulletId w:val="1"/>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B00122F"/>
    <w:multiLevelType w:val="hybridMultilevel"/>
    <w:tmpl w:val="94F0645A"/>
    <w:lvl w:ilvl="0" w:tplc="AF9C9B2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6FB20BD"/>
    <w:multiLevelType w:val="hybridMultilevel"/>
    <w:tmpl w:val="33EC5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15B0A97"/>
    <w:multiLevelType w:val="hybridMultilevel"/>
    <w:tmpl w:val="CD828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num>
  <w:num w:numId="7">
    <w:abstractNumId w:val="7"/>
  </w:num>
  <w:num w:numId="8">
    <w:abstractNumId w:val="9"/>
  </w:num>
  <w:num w:numId="9">
    <w:abstractNumId w:val="0"/>
  </w:num>
  <w:num w:numId="10">
    <w:abstractNumId w:val="8"/>
  </w:num>
  <w:num w:numId="11">
    <w:abstractNumId w:val="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w:hdrShapeDefaults>
  <w:footnotePr>
    <w:footnote w:id="0"/>
    <w:footnote w:id="1"/>
  </w:footnotePr>
  <w:endnotePr>
    <w:endnote w:id="0"/>
    <w:endnote w:id="1"/>
  </w:endnotePr>
  <w:compat/>
  <w:rsids>
    <w:rsidRoot w:val="0097775F"/>
    <w:rsid w:val="000D5809"/>
    <w:rsid w:val="00120DC8"/>
    <w:rsid w:val="00150CF5"/>
    <w:rsid w:val="001556CA"/>
    <w:rsid w:val="00170EC3"/>
    <w:rsid w:val="001A0509"/>
    <w:rsid w:val="001A40BC"/>
    <w:rsid w:val="001A475D"/>
    <w:rsid w:val="001F4747"/>
    <w:rsid w:val="00227808"/>
    <w:rsid w:val="00317FBE"/>
    <w:rsid w:val="003464C6"/>
    <w:rsid w:val="00386713"/>
    <w:rsid w:val="00394EE2"/>
    <w:rsid w:val="003C2C70"/>
    <w:rsid w:val="003E4D71"/>
    <w:rsid w:val="003E7AD5"/>
    <w:rsid w:val="003F629E"/>
    <w:rsid w:val="004346FB"/>
    <w:rsid w:val="00436E33"/>
    <w:rsid w:val="004443B4"/>
    <w:rsid w:val="004619EB"/>
    <w:rsid w:val="0046729D"/>
    <w:rsid w:val="005C603D"/>
    <w:rsid w:val="006D45C8"/>
    <w:rsid w:val="006D6B90"/>
    <w:rsid w:val="0073208D"/>
    <w:rsid w:val="00746867"/>
    <w:rsid w:val="00831486"/>
    <w:rsid w:val="008411D3"/>
    <w:rsid w:val="008457F2"/>
    <w:rsid w:val="00861103"/>
    <w:rsid w:val="00861E5E"/>
    <w:rsid w:val="00884014"/>
    <w:rsid w:val="008D221C"/>
    <w:rsid w:val="008D68F0"/>
    <w:rsid w:val="00911BCB"/>
    <w:rsid w:val="009175D2"/>
    <w:rsid w:val="00957752"/>
    <w:rsid w:val="00960F4D"/>
    <w:rsid w:val="0097775F"/>
    <w:rsid w:val="009D0D86"/>
    <w:rsid w:val="00A16279"/>
    <w:rsid w:val="00A21987"/>
    <w:rsid w:val="00A4231E"/>
    <w:rsid w:val="00A91A94"/>
    <w:rsid w:val="00A9224B"/>
    <w:rsid w:val="00AA1B76"/>
    <w:rsid w:val="00AA7B32"/>
    <w:rsid w:val="00B05D44"/>
    <w:rsid w:val="00B23458"/>
    <w:rsid w:val="00B40316"/>
    <w:rsid w:val="00B60AEE"/>
    <w:rsid w:val="00BF0247"/>
    <w:rsid w:val="00C20EC0"/>
    <w:rsid w:val="00CB419D"/>
    <w:rsid w:val="00CD1E90"/>
    <w:rsid w:val="00D10834"/>
    <w:rsid w:val="00D46325"/>
    <w:rsid w:val="00D7737C"/>
    <w:rsid w:val="00E52634"/>
    <w:rsid w:val="00EB322F"/>
    <w:rsid w:val="00EF4C8A"/>
    <w:rsid w:val="00F62DAA"/>
    <w:rsid w:val="00F930C7"/>
    <w:rsid w:val="00FA18B5"/>
    <w:rsid w:val="00FB2987"/>
    <w:rsid w:val="00FD39D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24B"/>
    <w:pPr>
      <w:spacing w:after="0" w:line="240" w:lineRule="auto"/>
      <w:jc w:val="both"/>
    </w:pPr>
    <w:rPr>
      <w:rFonts w:ascii="Tahoma" w:hAnsi="Tahoma"/>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775F"/>
    <w:pPr>
      <w:ind w:left="720"/>
      <w:contextualSpacing/>
    </w:pPr>
  </w:style>
  <w:style w:type="table" w:styleId="Grilledutableau">
    <w:name w:val="Table Grid"/>
    <w:basedOn w:val="TableauNormal"/>
    <w:uiPriority w:val="59"/>
    <w:rsid w:val="009777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lmot">
    <w:name w:val="gl_mot"/>
    <w:basedOn w:val="Policepardfaut"/>
    <w:rsid w:val="00746867"/>
  </w:style>
  <w:style w:type="character" w:customStyle="1" w:styleId="gldt">
    <w:name w:val="gl_dt"/>
    <w:basedOn w:val="Policepardfaut"/>
    <w:rsid w:val="00746867"/>
  </w:style>
  <w:style w:type="character" w:customStyle="1" w:styleId="gldd">
    <w:name w:val="gl_dd"/>
    <w:basedOn w:val="Policepardfaut"/>
    <w:rsid w:val="00746867"/>
  </w:style>
  <w:style w:type="character" w:styleId="Lienhypertexte">
    <w:name w:val="Hyperlink"/>
    <w:basedOn w:val="Policepardfaut"/>
    <w:uiPriority w:val="99"/>
    <w:unhideWhenUsed/>
    <w:rsid w:val="00A9224B"/>
    <w:rPr>
      <w:color w:val="0000FF" w:themeColor="hyperlink"/>
      <w:u w:val="single"/>
    </w:rPr>
  </w:style>
  <w:style w:type="paragraph" w:styleId="Textedebulles">
    <w:name w:val="Balloon Text"/>
    <w:basedOn w:val="Normal"/>
    <w:link w:val="TextedebullesCar"/>
    <w:uiPriority w:val="99"/>
    <w:semiHidden/>
    <w:unhideWhenUsed/>
    <w:rsid w:val="00831486"/>
    <w:rPr>
      <w:rFonts w:cs="Tahoma"/>
      <w:sz w:val="16"/>
      <w:szCs w:val="16"/>
    </w:rPr>
  </w:style>
  <w:style w:type="character" w:customStyle="1" w:styleId="TextedebullesCar">
    <w:name w:val="Texte de bulles Car"/>
    <w:basedOn w:val="Policepardfaut"/>
    <w:link w:val="Textedebulles"/>
    <w:uiPriority w:val="99"/>
    <w:semiHidden/>
    <w:rsid w:val="00831486"/>
    <w:rPr>
      <w:rFonts w:ascii="Tahoma" w:hAnsi="Tahoma" w:cs="Tahoma"/>
      <w:sz w:val="16"/>
      <w:szCs w:val="16"/>
    </w:rPr>
  </w:style>
  <w:style w:type="paragraph" w:styleId="En-tte">
    <w:name w:val="header"/>
    <w:basedOn w:val="Normal"/>
    <w:link w:val="En-tteCar"/>
    <w:uiPriority w:val="99"/>
    <w:unhideWhenUsed/>
    <w:rsid w:val="0046729D"/>
    <w:pPr>
      <w:tabs>
        <w:tab w:val="center" w:pos="4536"/>
        <w:tab w:val="right" w:pos="9072"/>
      </w:tabs>
    </w:pPr>
  </w:style>
  <w:style w:type="character" w:customStyle="1" w:styleId="En-tteCar">
    <w:name w:val="En-tête Car"/>
    <w:basedOn w:val="Policepardfaut"/>
    <w:link w:val="En-tte"/>
    <w:uiPriority w:val="99"/>
    <w:rsid w:val="0046729D"/>
    <w:rPr>
      <w:rFonts w:ascii="Tahoma" w:hAnsi="Tahoma"/>
      <w:sz w:val="20"/>
    </w:rPr>
  </w:style>
  <w:style w:type="paragraph" w:styleId="Pieddepage">
    <w:name w:val="footer"/>
    <w:basedOn w:val="Normal"/>
    <w:link w:val="PieddepageCar"/>
    <w:uiPriority w:val="99"/>
    <w:unhideWhenUsed/>
    <w:rsid w:val="0046729D"/>
    <w:pPr>
      <w:tabs>
        <w:tab w:val="center" w:pos="4536"/>
        <w:tab w:val="right" w:pos="9072"/>
      </w:tabs>
    </w:pPr>
  </w:style>
  <w:style w:type="character" w:customStyle="1" w:styleId="PieddepageCar">
    <w:name w:val="Pied de page Car"/>
    <w:basedOn w:val="Policepardfaut"/>
    <w:link w:val="Pieddepage"/>
    <w:uiPriority w:val="99"/>
    <w:rsid w:val="0046729D"/>
    <w:rPr>
      <w:rFonts w:ascii="Tahoma" w:hAnsi="Tahoma"/>
      <w:sz w:val="20"/>
    </w:rPr>
  </w:style>
</w:styles>
</file>

<file path=word/webSettings.xml><?xml version="1.0" encoding="utf-8"?>
<w:webSettings xmlns:r="http://schemas.openxmlformats.org/officeDocument/2006/relationships" xmlns:w="http://schemas.openxmlformats.org/wordprocessingml/2006/main">
  <w:divs>
    <w:div w:id="507644743">
      <w:bodyDiv w:val="1"/>
      <w:marLeft w:val="0"/>
      <w:marRight w:val="0"/>
      <w:marTop w:val="0"/>
      <w:marBottom w:val="0"/>
      <w:divBdr>
        <w:top w:val="none" w:sz="0" w:space="0" w:color="auto"/>
        <w:left w:val="none" w:sz="0" w:space="0" w:color="auto"/>
        <w:bottom w:val="none" w:sz="0" w:space="0" w:color="auto"/>
        <w:right w:val="none" w:sz="0" w:space="0" w:color="auto"/>
      </w:divBdr>
    </w:div>
    <w:div w:id="743796095">
      <w:bodyDiv w:val="1"/>
      <w:marLeft w:val="0"/>
      <w:marRight w:val="0"/>
      <w:marTop w:val="0"/>
      <w:marBottom w:val="0"/>
      <w:divBdr>
        <w:top w:val="none" w:sz="0" w:space="0" w:color="auto"/>
        <w:left w:val="none" w:sz="0" w:space="0" w:color="auto"/>
        <w:bottom w:val="none" w:sz="0" w:space="0" w:color="auto"/>
        <w:right w:val="none" w:sz="0" w:space="0" w:color="auto"/>
      </w:divBdr>
    </w:div>
    <w:div w:id="963733532">
      <w:bodyDiv w:val="1"/>
      <w:marLeft w:val="0"/>
      <w:marRight w:val="0"/>
      <w:marTop w:val="0"/>
      <w:marBottom w:val="0"/>
      <w:divBdr>
        <w:top w:val="none" w:sz="0" w:space="0" w:color="auto"/>
        <w:left w:val="none" w:sz="0" w:space="0" w:color="auto"/>
        <w:bottom w:val="none" w:sz="0" w:space="0" w:color="auto"/>
        <w:right w:val="none" w:sz="0" w:space="0" w:color="auto"/>
      </w:divBdr>
    </w:div>
    <w:div w:id="142437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png"/><Relationship Id="rId18" Type="http://schemas.openxmlformats.org/officeDocument/2006/relationships/image" Target="cid:image001.jpg@01C9FBF0.8E3E2510" TargetMode="External"/><Relationship Id="rId26" Type="http://schemas.openxmlformats.org/officeDocument/2006/relationships/hyperlink" Target="http://www.edf.com" TargetMode="External"/><Relationship Id="rId3" Type="http://schemas.openxmlformats.org/officeDocument/2006/relationships/styles" Target="styles.xml"/><Relationship Id="rId21" Type="http://schemas.openxmlformats.org/officeDocument/2006/relationships/hyperlink" Target="http://www.tennet.n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ex.com" TargetMode="External"/><Relationship Id="rId17" Type="http://schemas.openxmlformats.org/officeDocument/2006/relationships/image" Target="media/image8.jpeg"/><Relationship Id="rId25" Type="http://schemas.openxmlformats.org/officeDocument/2006/relationships/hyperlink" Target="http://www.eon.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c.de" TargetMode="External"/><Relationship Id="rId20" Type="http://schemas.openxmlformats.org/officeDocument/2006/relationships/hyperlink" Target="http://www.rte-france.com" TargetMode="External"/><Relationship Id="rId29" Type="http://schemas.openxmlformats.org/officeDocument/2006/relationships/hyperlink" Target="http://www.gdfsue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http://www.alpiq.f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tigf.fr" TargetMode="External"/><Relationship Id="rId28" Type="http://schemas.openxmlformats.org/officeDocument/2006/relationships/hyperlink" Target="http://www.enel.it" TargetMode="External"/><Relationship Id="rId10" Type="http://schemas.openxmlformats.org/officeDocument/2006/relationships/hyperlink" Target="http://www.epexspot.com" TargetMode="External"/><Relationship Id="rId19" Type="http://schemas.openxmlformats.org/officeDocument/2006/relationships/hyperlink" Target="http://www.elia.b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belpex.be" TargetMode="External"/><Relationship Id="rId22" Type="http://schemas.openxmlformats.org/officeDocument/2006/relationships/hyperlink" Target="http://www.grtgaz.com" TargetMode="External"/><Relationship Id="rId27" Type="http://schemas.openxmlformats.org/officeDocument/2006/relationships/hyperlink" Target="http://www.electrabel.be" TargetMode="External"/><Relationship Id="rId30" Type="http://schemas.openxmlformats.org/officeDocument/2006/relationships/hyperlink" Target="http://www.tot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4172F-FD68-4339-AEB2-8DCCD8B0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1258</Words>
  <Characters>6925</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POWERNEXTSA</Company>
  <LinksUpToDate>false</LinksUpToDate>
  <CharactersWithSpaces>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goux</dc:creator>
  <cp:keywords/>
  <dc:description/>
  <cp:lastModifiedBy>katz</cp:lastModifiedBy>
  <cp:revision>2</cp:revision>
  <dcterms:created xsi:type="dcterms:W3CDTF">2009-07-07T11:23:00Z</dcterms:created>
  <dcterms:modified xsi:type="dcterms:W3CDTF">2009-07-07T11:23:00Z</dcterms:modified>
</cp:coreProperties>
</file>