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7F0" w:rsidRDefault="007467F0" w:rsidP="007467F0">
      <w:pPr>
        <w:spacing w:line="360" w:lineRule="auto"/>
        <w:rPr>
          <w:rFonts w:cs="Arial"/>
          <w:iCs/>
          <w:szCs w:val="22"/>
          <w:lang w:val="en-US"/>
        </w:rPr>
      </w:pPr>
    </w:p>
    <w:p w:rsidR="004C676C" w:rsidRDefault="004C676C" w:rsidP="007467F0">
      <w:pPr>
        <w:spacing w:line="360" w:lineRule="auto"/>
        <w:rPr>
          <w:rFonts w:cs="Arial"/>
          <w:iCs/>
          <w:szCs w:val="22"/>
          <w:lang w:val="en-US"/>
        </w:rPr>
      </w:pPr>
    </w:p>
    <w:p w:rsidR="004C676C" w:rsidRPr="00BB29BD" w:rsidRDefault="004C676C" w:rsidP="007467F0">
      <w:pPr>
        <w:spacing w:line="360" w:lineRule="auto"/>
        <w:rPr>
          <w:rFonts w:cs="Arial"/>
          <w:iCs/>
          <w:szCs w:val="22"/>
          <w:lang w:val="en-US"/>
        </w:rPr>
      </w:pPr>
    </w:p>
    <w:p w:rsidR="00BB29BD" w:rsidRPr="00BB29BD" w:rsidRDefault="00BB29BD" w:rsidP="004C676C">
      <w:pPr>
        <w:widowControl w:val="0"/>
        <w:suppressLineNumbers/>
        <w:suppressAutoHyphens/>
        <w:spacing w:before="0" w:line="360" w:lineRule="auto"/>
        <w:ind w:right="1132"/>
        <w:jc w:val="center"/>
        <w:outlineLvl w:val="0"/>
        <w:rPr>
          <w:rFonts w:cs="Arial"/>
          <w:iCs/>
          <w:szCs w:val="22"/>
          <w:lang w:val="en-US"/>
        </w:rPr>
      </w:pPr>
      <w:r w:rsidRPr="00BB29BD">
        <w:rPr>
          <w:caps/>
          <w:color w:val="4D4D4D"/>
          <w:sz w:val="34"/>
          <w:szCs w:val="34"/>
          <w:lang w:val="en-GB"/>
        </w:rPr>
        <w:t>ABOUT EPEX SPOT</w:t>
      </w:r>
    </w:p>
    <w:p w:rsidR="00BB29BD" w:rsidRPr="00BB29BD" w:rsidRDefault="00BB29BD" w:rsidP="00BB29BD">
      <w:pPr>
        <w:spacing w:line="360" w:lineRule="auto"/>
        <w:rPr>
          <w:rFonts w:cs="Arial"/>
          <w:iCs/>
          <w:szCs w:val="22"/>
          <w:lang w:val="en-US"/>
        </w:rPr>
      </w:pPr>
      <w:r w:rsidRPr="00BB29BD">
        <w:rPr>
          <w:rFonts w:cs="Arial"/>
          <w:iCs/>
          <w:szCs w:val="22"/>
          <w:lang w:val="en-US"/>
        </w:rPr>
        <w:t>EPEX Spot is operated by EPEX Spot SE which is a European company (a Societas Eur</w:t>
      </w:r>
      <w:r w:rsidRPr="00BB29BD">
        <w:rPr>
          <w:rFonts w:cs="Arial"/>
          <w:iCs/>
          <w:szCs w:val="22"/>
          <w:lang w:val="en-US"/>
        </w:rPr>
        <w:t>o</w:t>
      </w:r>
      <w:r w:rsidRPr="00BB29BD">
        <w:rPr>
          <w:rFonts w:cs="Arial"/>
          <w:iCs/>
          <w:szCs w:val="22"/>
          <w:lang w:val="en-US"/>
        </w:rPr>
        <w:t>pae or SE). EPEX Spot SE is incorporated in France but the rules that are applicable to it are defined at European level. The foundation of a Societas Europaea (SE) allows companies incorporated in different member states to merge or form a holding company or joint subsid</w:t>
      </w:r>
      <w:r w:rsidRPr="00BB29BD">
        <w:rPr>
          <w:rFonts w:cs="Arial"/>
          <w:iCs/>
          <w:szCs w:val="22"/>
          <w:lang w:val="en-US"/>
        </w:rPr>
        <w:t>i</w:t>
      </w:r>
      <w:r w:rsidRPr="00BB29BD">
        <w:rPr>
          <w:rFonts w:cs="Arial"/>
          <w:iCs/>
          <w:szCs w:val="22"/>
          <w:lang w:val="en-US"/>
        </w:rPr>
        <w:t>ary, while avoiding the legal and practical constraints arising from the existence of different legal systems.</w:t>
      </w:r>
    </w:p>
    <w:p w:rsidR="00BB29BD" w:rsidRPr="00BB29BD" w:rsidRDefault="00BB29BD" w:rsidP="00BB29BD">
      <w:pPr>
        <w:spacing w:line="360" w:lineRule="auto"/>
        <w:rPr>
          <w:rFonts w:cs="Arial"/>
          <w:iCs/>
          <w:szCs w:val="22"/>
          <w:lang w:val="en-US"/>
        </w:rPr>
      </w:pPr>
      <w:r w:rsidRPr="00BB29BD">
        <w:rPr>
          <w:rFonts w:cs="Arial"/>
          <w:iCs/>
          <w:szCs w:val="22"/>
          <w:lang w:val="en-US"/>
        </w:rPr>
        <w:t xml:space="preserve">EPEX Spot SE equity capital is equally divided between EEX Power Spot and Powernext SA.  </w:t>
      </w:r>
    </w:p>
    <w:p w:rsidR="00BB29BD" w:rsidRDefault="00BB29BD" w:rsidP="00BB29BD">
      <w:pPr>
        <w:widowControl w:val="0"/>
        <w:suppressLineNumbers/>
        <w:suppressAutoHyphens/>
        <w:spacing w:before="0" w:line="360" w:lineRule="auto"/>
        <w:ind w:right="1132"/>
        <w:outlineLvl w:val="0"/>
        <w:rPr>
          <w:caps/>
          <w:color w:val="4D4D4D"/>
          <w:sz w:val="34"/>
          <w:szCs w:val="34"/>
          <w:lang w:val="en-US"/>
        </w:rPr>
      </w:pPr>
    </w:p>
    <w:p w:rsidR="00BB29BD" w:rsidRPr="00BB29BD" w:rsidRDefault="00BB29BD" w:rsidP="004C676C">
      <w:pPr>
        <w:widowControl w:val="0"/>
        <w:suppressLineNumbers/>
        <w:suppressAutoHyphens/>
        <w:spacing w:before="0" w:line="360" w:lineRule="auto"/>
        <w:ind w:right="1132"/>
        <w:jc w:val="center"/>
        <w:outlineLvl w:val="0"/>
        <w:rPr>
          <w:caps/>
          <w:color w:val="4D4D4D"/>
          <w:sz w:val="34"/>
          <w:szCs w:val="34"/>
          <w:lang w:val="en-GB"/>
        </w:rPr>
      </w:pPr>
      <w:r w:rsidRPr="00BB29BD">
        <w:rPr>
          <w:caps/>
          <w:color w:val="4D4D4D"/>
          <w:sz w:val="34"/>
          <w:szCs w:val="34"/>
          <w:lang w:val="en-GB"/>
        </w:rPr>
        <w:t>MANAGEMENT</w:t>
      </w:r>
    </w:p>
    <w:p w:rsidR="00BB29BD" w:rsidRPr="00BB29BD" w:rsidRDefault="00BB29BD" w:rsidP="00BB29BD">
      <w:pPr>
        <w:spacing w:line="360" w:lineRule="auto"/>
        <w:rPr>
          <w:rFonts w:cs="Arial"/>
          <w:iCs/>
          <w:szCs w:val="22"/>
          <w:lang w:val="en-US"/>
        </w:rPr>
      </w:pPr>
      <w:r w:rsidRPr="00BB29BD">
        <w:rPr>
          <w:rFonts w:cs="Arial"/>
          <w:iCs/>
          <w:szCs w:val="22"/>
          <w:lang w:val="en-US"/>
        </w:rPr>
        <w:t>EPEX Spot SE is structured in accordance with the “one-tier” board system. The responsibil</w:t>
      </w:r>
      <w:r w:rsidRPr="00BB29BD">
        <w:rPr>
          <w:rFonts w:cs="Arial"/>
          <w:iCs/>
          <w:szCs w:val="22"/>
          <w:lang w:val="en-US"/>
        </w:rPr>
        <w:t>i</w:t>
      </w:r>
      <w:r w:rsidRPr="00BB29BD">
        <w:rPr>
          <w:rFonts w:cs="Arial"/>
          <w:iCs/>
          <w:szCs w:val="22"/>
          <w:lang w:val="en-US"/>
        </w:rPr>
        <w:t>ty for the general management of the company is borne by an individual appointed by the Board of Directors carrying the title of Chief Executive Officer (“Directeur Général”). The CEO reports to the Board of Directors (“Conseil d’administration”) which is chaired by a Chairman of the Board of Directors (“Président du Conseil d’Administration”). Shareholders meet at General Meetings (“Assemblées générales”).</w:t>
      </w:r>
    </w:p>
    <w:p w:rsidR="00BB29BD" w:rsidRPr="00BB29BD" w:rsidRDefault="00BB29BD" w:rsidP="00BB29BD">
      <w:pPr>
        <w:spacing w:line="360" w:lineRule="auto"/>
        <w:rPr>
          <w:rFonts w:cs="Arial"/>
          <w:iCs/>
          <w:szCs w:val="22"/>
          <w:lang w:val="en-US"/>
        </w:rPr>
      </w:pPr>
      <w:r w:rsidRPr="00BB29BD">
        <w:rPr>
          <w:rFonts w:cs="Arial"/>
          <w:iCs/>
          <w:szCs w:val="22"/>
          <w:lang w:val="en-US"/>
        </w:rPr>
        <w:t>The Board of Directors consists of four members: Dr. Hans-Bernd Menzel, CEO of EEX, was appointed Chairman. Jean-François Conil-Lacoste, CEO of Powernext, was appointed Chief Executive Officer. Further members of the Board of Directors are Iris Weidinger, Chief Fina</w:t>
      </w:r>
      <w:r w:rsidRPr="00BB29BD">
        <w:rPr>
          <w:rFonts w:cs="Arial"/>
          <w:iCs/>
          <w:szCs w:val="22"/>
          <w:lang w:val="en-US"/>
        </w:rPr>
        <w:t>n</w:t>
      </w:r>
      <w:r w:rsidRPr="00BB29BD">
        <w:rPr>
          <w:rFonts w:cs="Arial"/>
          <w:iCs/>
          <w:szCs w:val="22"/>
          <w:lang w:val="en-US"/>
        </w:rPr>
        <w:t>cial Officer (CFO) of  EEX and Thierry Morello, Chief Operating Officer of EPEX Spot.</w:t>
      </w:r>
    </w:p>
    <w:p w:rsidR="00BB29BD" w:rsidRPr="00BB29BD" w:rsidRDefault="00BB29BD" w:rsidP="00BB29BD">
      <w:pPr>
        <w:spacing w:line="360" w:lineRule="auto"/>
        <w:rPr>
          <w:rFonts w:cs="Arial"/>
          <w:iCs/>
          <w:szCs w:val="22"/>
          <w:lang w:val="en-US"/>
        </w:rPr>
      </w:pPr>
      <w:r w:rsidRPr="00BB29BD">
        <w:rPr>
          <w:rFonts w:cs="Arial"/>
          <w:iCs/>
          <w:szCs w:val="22"/>
          <w:lang w:val="en-US"/>
        </w:rPr>
        <w:t>The management of EPEX Spot SE is in charge of operating EPEX Spot exchange. Two i</w:t>
      </w:r>
      <w:r w:rsidRPr="00BB29BD">
        <w:rPr>
          <w:rFonts w:cs="Arial"/>
          <w:iCs/>
          <w:szCs w:val="22"/>
          <w:lang w:val="en-US"/>
        </w:rPr>
        <w:t>n</w:t>
      </w:r>
      <w:r w:rsidRPr="00BB29BD">
        <w:rPr>
          <w:rFonts w:cs="Arial"/>
          <w:iCs/>
          <w:szCs w:val="22"/>
          <w:lang w:val="en-US"/>
        </w:rPr>
        <w:t>dependent bodies have also been put in place in order to ensure state of the art governance rules. The Exchange Council ensures the appropriateness of the Market Rules and the Ma</w:t>
      </w:r>
      <w:r w:rsidRPr="00BB29BD">
        <w:rPr>
          <w:rFonts w:cs="Arial"/>
          <w:iCs/>
          <w:szCs w:val="22"/>
          <w:lang w:val="en-US"/>
        </w:rPr>
        <w:t>r</w:t>
      </w:r>
      <w:r w:rsidRPr="00BB29BD">
        <w:rPr>
          <w:rFonts w:cs="Arial"/>
          <w:iCs/>
          <w:szCs w:val="22"/>
          <w:lang w:val="en-US"/>
        </w:rPr>
        <w:t>ket Surveillance Office is responsible for monitoring the market.</w:t>
      </w:r>
    </w:p>
    <w:p w:rsidR="00BB29BD" w:rsidRDefault="00BB29BD">
      <w:pPr>
        <w:spacing w:before="0" w:line="240" w:lineRule="auto"/>
        <w:jc w:val="left"/>
        <w:rPr>
          <w:caps/>
          <w:color w:val="4D4D4D"/>
          <w:sz w:val="34"/>
          <w:szCs w:val="34"/>
          <w:lang w:val="en-GB"/>
        </w:rPr>
      </w:pPr>
      <w:r>
        <w:rPr>
          <w:caps/>
          <w:color w:val="4D4D4D"/>
          <w:sz w:val="34"/>
          <w:szCs w:val="34"/>
          <w:lang w:val="en-GB"/>
        </w:rPr>
        <w:br w:type="page"/>
      </w:r>
    </w:p>
    <w:p w:rsidR="00BB29BD" w:rsidRPr="00BB29BD" w:rsidRDefault="00BB29BD" w:rsidP="004C676C">
      <w:pPr>
        <w:widowControl w:val="0"/>
        <w:suppressLineNumbers/>
        <w:suppressAutoHyphens/>
        <w:spacing w:before="0" w:line="360" w:lineRule="auto"/>
        <w:ind w:right="1132"/>
        <w:jc w:val="center"/>
        <w:outlineLvl w:val="0"/>
        <w:rPr>
          <w:caps/>
          <w:color w:val="4D4D4D"/>
          <w:sz w:val="34"/>
          <w:szCs w:val="34"/>
          <w:lang w:val="en-GB"/>
        </w:rPr>
      </w:pPr>
      <w:r w:rsidRPr="00BB29BD">
        <w:rPr>
          <w:caps/>
          <w:color w:val="4D4D4D"/>
          <w:sz w:val="34"/>
          <w:szCs w:val="34"/>
          <w:lang w:val="en-GB"/>
        </w:rPr>
        <w:lastRenderedPageBreak/>
        <w:t>EPEX SPOT EXCHANGE COUNCIL</w:t>
      </w:r>
    </w:p>
    <w:p w:rsidR="004C676C" w:rsidRDefault="004C676C" w:rsidP="00BB29BD">
      <w:pPr>
        <w:spacing w:line="360" w:lineRule="auto"/>
        <w:rPr>
          <w:rFonts w:cs="Arial"/>
          <w:iCs/>
          <w:szCs w:val="22"/>
          <w:lang w:val="en-US"/>
        </w:rPr>
      </w:pPr>
    </w:p>
    <w:p w:rsidR="007F5800" w:rsidRDefault="00BB29BD" w:rsidP="00BB29BD">
      <w:pPr>
        <w:spacing w:line="360" w:lineRule="auto"/>
        <w:rPr>
          <w:rFonts w:cs="Arial"/>
          <w:iCs/>
          <w:szCs w:val="22"/>
          <w:lang w:val="en-US"/>
        </w:rPr>
      </w:pPr>
      <w:r w:rsidRPr="00BB29BD">
        <w:rPr>
          <w:rFonts w:cs="Arial"/>
          <w:iCs/>
          <w:szCs w:val="22"/>
          <w:lang w:val="en-US"/>
        </w:rPr>
        <w:t>The Exchange Council is a body representing Exchange Members in EPEX Spot governance regarding decisions that are keys to the market. The Exchange Council is neither responsible or in charge of commercial or economic decisions nor of controlling EPEX Spot SE Board of Directors</w:t>
      </w:r>
      <w:r>
        <w:rPr>
          <w:rFonts w:cs="Arial"/>
          <w:iCs/>
          <w:szCs w:val="22"/>
          <w:lang w:val="en-US"/>
        </w:rPr>
        <w:t>.</w:t>
      </w:r>
    </w:p>
    <w:p w:rsidR="004C676C" w:rsidRDefault="004C676C" w:rsidP="00BB29BD">
      <w:pPr>
        <w:spacing w:line="360" w:lineRule="auto"/>
        <w:rPr>
          <w:rFonts w:cs="Arial"/>
          <w:iCs/>
          <w:szCs w:val="22"/>
          <w:lang w:val="en-US"/>
        </w:rPr>
      </w:pPr>
    </w:p>
    <w:p w:rsidR="004C676C" w:rsidRDefault="004C676C" w:rsidP="00BB29BD">
      <w:pPr>
        <w:spacing w:line="360" w:lineRule="auto"/>
        <w:rPr>
          <w:rFonts w:cs="Arial"/>
          <w:iCs/>
          <w:szCs w:val="22"/>
          <w:lang w:val="en-US"/>
        </w:rPr>
      </w:pPr>
    </w:p>
    <w:p w:rsidR="004C676C" w:rsidRPr="00836DB4" w:rsidRDefault="004C676C" w:rsidP="004C676C">
      <w:pPr>
        <w:widowControl w:val="0"/>
        <w:suppressLineNumbers/>
        <w:suppressAutoHyphens/>
        <w:spacing w:before="0" w:line="360" w:lineRule="auto"/>
        <w:ind w:right="1132"/>
        <w:jc w:val="center"/>
        <w:outlineLvl w:val="0"/>
        <w:rPr>
          <w:caps/>
          <w:color w:val="4D4D4D"/>
          <w:sz w:val="34"/>
          <w:szCs w:val="34"/>
          <w:lang w:val="en-GB"/>
        </w:rPr>
      </w:pPr>
      <w:r w:rsidRPr="00836DB4">
        <w:rPr>
          <w:caps/>
          <w:color w:val="4D4D4D"/>
          <w:sz w:val="34"/>
          <w:szCs w:val="34"/>
          <w:lang w:val="en-GB"/>
        </w:rPr>
        <w:t>ABOUT THE COOPERATION</w:t>
      </w:r>
    </w:p>
    <w:p w:rsidR="004C676C" w:rsidRPr="00836DB4" w:rsidRDefault="004C676C" w:rsidP="004C676C">
      <w:pPr>
        <w:suppressAutoHyphens/>
        <w:spacing w:line="360" w:lineRule="auto"/>
        <w:rPr>
          <w:rFonts w:cs="Arial"/>
          <w:iCs/>
          <w:szCs w:val="22"/>
          <w:lang w:val="en-US"/>
        </w:rPr>
      </w:pPr>
      <w:r w:rsidRPr="00836DB4">
        <w:rPr>
          <w:rFonts w:cs="Arial"/>
          <w:iCs/>
          <w:szCs w:val="22"/>
          <w:lang w:val="en-US"/>
        </w:rPr>
        <w:t xml:space="preserve">The starting point for the development of power exchanges was the liberalisation of the European energy markets initiated in 1998. The main objectives of the EU were the security of supply and competitive prices. In the long term, the decision to open up Europe’s gas and electricity markets aimed at the creation of a single European electricity market. </w:t>
      </w:r>
    </w:p>
    <w:p w:rsidR="004C676C" w:rsidRPr="00836DB4" w:rsidRDefault="004C676C" w:rsidP="004C676C">
      <w:pPr>
        <w:suppressAutoHyphens/>
        <w:spacing w:line="360" w:lineRule="auto"/>
        <w:rPr>
          <w:rFonts w:cs="Arial"/>
          <w:iCs/>
          <w:szCs w:val="22"/>
          <w:lang w:val="en-US"/>
        </w:rPr>
      </w:pPr>
      <w:r w:rsidRPr="00836DB4">
        <w:rPr>
          <w:rFonts w:cs="Arial"/>
          <w:iCs/>
          <w:szCs w:val="22"/>
          <w:lang w:val="en-US"/>
        </w:rPr>
        <w:t xml:space="preserve">Since 1998, several power exchanges have been established in Europe. By establishing reliable reference prices and creating a ‘level playing field’ for trading, they have become a key requirement for functioning markets. Today, there are about 20 organized markets in Europe and competition among these market places and upcoming market initiatives has increased significantly. </w:t>
      </w:r>
    </w:p>
    <w:p w:rsidR="004C676C" w:rsidRPr="00836DB4" w:rsidRDefault="004C676C" w:rsidP="004C676C">
      <w:pPr>
        <w:suppressAutoHyphens/>
        <w:spacing w:line="360" w:lineRule="auto"/>
        <w:rPr>
          <w:rFonts w:cs="Arial"/>
          <w:iCs/>
          <w:szCs w:val="22"/>
          <w:lang w:val="en-US"/>
        </w:rPr>
      </w:pPr>
      <w:r w:rsidRPr="00836DB4">
        <w:rPr>
          <w:rFonts w:cs="Arial"/>
          <w:iCs/>
          <w:szCs w:val="22"/>
          <w:lang w:val="en-US"/>
        </w:rPr>
        <w:t>While it is advantageous for final consumers to have many power suppliers to choose from, a cooperation of the trading platforms is desirable on the wholesale level in the interest of a uniform European single market. In the light of the EU vision, the cooperation between the energy exchanges EEX, based in Germany, and Powernext SA, based in France, is a decisive step towards an integrated European electricity market.  </w:t>
      </w:r>
    </w:p>
    <w:p w:rsidR="004C676C" w:rsidRDefault="004C676C" w:rsidP="004C676C">
      <w:pPr>
        <w:suppressAutoHyphens/>
        <w:spacing w:line="360" w:lineRule="auto"/>
        <w:rPr>
          <w:rFonts w:cs="Arial"/>
          <w:iCs/>
          <w:szCs w:val="22"/>
          <w:lang w:val="en-US"/>
        </w:rPr>
      </w:pPr>
    </w:p>
    <w:p w:rsidR="004C676C" w:rsidRDefault="004C676C" w:rsidP="004C676C">
      <w:pPr>
        <w:suppressAutoHyphens/>
        <w:spacing w:line="360" w:lineRule="auto"/>
        <w:rPr>
          <w:rFonts w:cs="Arial"/>
          <w:iCs/>
          <w:szCs w:val="22"/>
          <w:lang w:val="en-US"/>
        </w:rPr>
      </w:pPr>
    </w:p>
    <w:p w:rsidR="004C676C" w:rsidRDefault="004C676C" w:rsidP="004C676C">
      <w:pPr>
        <w:suppressAutoHyphens/>
        <w:spacing w:line="360" w:lineRule="auto"/>
        <w:rPr>
          <w:rFonts w:cs="Arial"/>
          <w:iCs/>
          <w:szCs w:val="22"/>
          <w:lang w:val="en-US"/>
        </w:rPr>
      </w:pPr>
    </w:p>
    <w:p w:rsidR="004C676C" w:rsidRDefault="004C676C" w:rsidP="004C676C">
      <w:pPr>
        <w:suppressAutoHyphens/>
        <w:spacing w:line="360" w:lineRule="auto"/>
        <w:rPr>
          <w:rFonts w:cs="Arial"/>
          <w:iCs/>
          <w:szCs w:val="22"/>
          <w:lang w:val="en-US"/>
        </w:rPr>
      </w:pPr>
    </w:p>
    <w:p w:rsidR="004C676C" w:rsidRPr="00836DB4" w:rsidRDefault="004C676C" w:rsidP="004C676C">
      <w:pPr>
        <w:suppressAutoHyphens/>
        <w:spacing w:line="360" w:lineRule="auto"/>
        <w:rPr>
          <w:rFonts w:cs="Arial"/>
          <w:iCs/>
          <w:szCs w:val="22"/>
          <w:lang w:val="en-US"/>
        </w:rPr>
      </w:pPr>
    </w:p>
    <w:p w:rsidR="004C676C" w:rsidRPr="00836DB4" w:rsidRDefault="004C676C" w:rsidP="004C676C">
      <w:pPr>
        <w:widowControl w:val="0"/>
        <w:suppressLineNumbers/>
        <w:suppressAutoHyphens/>
        <w:spacing w:before="0" w:line="360" w:lineRule="auto"/>
        <w:ind w:right="1132"/>
        <w:jc w:val="center"/>
        <w:outlineLvl w:val="0"/>
        <w:rPr>
          <w:caps/>
          <w:color w:val="4D4D4D"/>
          <w:sz w:val="34"/>
          <w:szCs w:val="34"/>
          <w:lang w:val="en-GB"/>
        </w:rPr>
      </w:pPr>
      <w:r w:rsidRPr="00836DB4">
        <w:rPr>
          <w:caps/>
          <w:color w:val="4D4D4D"/>
          <w:sz w:val="34"/>
          <w:szCs w:val="34"/>
          <w:lang w:val="en-GB"/>
        </w:rPr>
        <w:lastRenderedPageBreak/>
        <w:t>Key aspects of the cooperation</w:t>
      </w:r>
    </w:p>
    <w:p w:rsidR="004C676C" w:rsidRPr="00836DB4" w:rsidRDefault="004C676C" w:rsidP="004C676C">
      <w:pPr>
        <w:pStyle w:val="Paragraphedeliste"/>
        <w:numPr>
          <w:ilvl w:val="0"/>
          <w:numId w:val="15"/>
        </w:numPr>
        <w:suppressAutoHyphens/>
        <w:spacing w:line="360" w:lineRule="auto"/>
        <w:rPr>
          <w:rFonts w:cs="Arial"/>
          <w:iCs/>
          <w:szCs w:val="22"/>
          <w:lang w:val="en-US"/>
        </w:rPr>
      </w:pPr>
      <w:r w:rsidRPr="00836DB4">
        <w:rPr>
          <w:rFonts w:cs="Arial"/>
          <w:iCs/>
          <w:szCs w:val="22"/>
          <w:lang w:val="en-US"/>
        </w:rPr>
        <w:t xml:space="preserve">Common Power Spot Exchange based in Paris </w:t>
      </w:r>
    </w:p>
    <w:p w:rsidR="004C676C" w:rsidRPr="00836DB4" w:rsidRDefault="004C676C" w:rsidP="004C676C">
      <w:pPr>
        <w:pStyle w:val="Paragraphedeliste"/>
        <w:numPr>
          <w:ilvl w:val="0"/>
          <w:numId w:val="15"/>
        </w:numPr>
        <w:suppressAutoHyphens/>
        <w:spacing w:line="360" w:lineRule="auto"/>
        <w:rPr>
          <w:rFonts w:cs="Arial"/>
          <w:iCs/>
          <w:szCs w:val="22"/>
          <w:lang w:val="en-US"/>
        </w:rPr>
      </w:pPr>
      <w:r w:rsidRPr="00836DB4">
        <w:rPr>
          <w:rFonts w:cs="Arial"/>
          <w:iCs/>
          <w:szCs w:val="22"/>
          <w:lang w:val="en-US"/>
        </w:rPr>
        <w:t xml:space="preserve">Common Power Derivatives Exchange based in Leipzig </w:t>
      </w:r>
    </w:p>
    <w:p w:rsidR="004C676C" w:rsidRPr="00836DB4" w:rsidRDefault="004C676C" w:rsidP="004C676C">
      <w:pPr>
        <w:pStyle w:val="Paragraphedeliste"/>
        <w:numPr>
          <w:ilvl w:val="0"/>
          <w:numId w:val="15"/>
        </w:numPr>
        <w:suppressAutoHyphens/>
        <w:spacing w:line="360" w:lineRule="auto"/>
        <w:rPr>
          <w:rFonts w:cs="Arial"/>
          <w:iCs/>
          <w:szCs w:val="22"/>
          <w:lang w:val="en-US"/>
        </w:rPr>
      </w:pPr>
      <w:r w:rsidRPr="00836DB4">
        <w:rPr>
          <w:rFonts w:cs="Arial"/>
          <w:iCs/>
          <w:szCs w:val="22"/>
          <w:lang w:val="en-US"/>
        </w:rPr>
        <w:t>Clearing of all spot and derivatives energy products through European Commodity Clearing AG (ECC) based in Leipzig</w:t>
      </w:r>
    </w:p>
    <w:p w:rsidR="004C676C" w:rsidRDefault="004C676C" w:rsidP="004C676C">
      <w:pPr>
        <w:suppressAutoHyphens/>
        <w:spacing w:line="360" w:lineRule="auto"/>
        <w:rPr>
          <w:rFonts w:cs="Arial"/>
          <w:iCs/>
          <w:szCs w:val="22"/>
          <w:lang w:val="en-US"/>
        </w:rPr>
      </w:pPr>
    </w:p>
    <w:p w:rsidR="004C676C" w:rsidRPr="00836DB4" w:rsidRDefault="004C676C" w:rsidP="004C676C">
      <w:pPr>
        <w:suppressAutoHyphens/>
        <w:spacing w:line="360" w:lineRule="auto"/>
        <w:rPr>
          <w:rFonts w:cs="Arial"/>
          <w:iCs/>
          <w:szCs w:val="22"/>
          <w:lang w:val="en-US"/>
        </w:rPr>
      </w:pPr>
      <w:r>
        <w:rPr>
          <w:rFonts w:cs="Arial"/>
          <w:iCs/>
          <w:szCs w:val="22"/>
          <w:lang w:val="en-US"/>
        </w:rPr>
        <w:t>Implementation steps:</w:t>
      </w:r>
    </w:p>
    <w:p w:rsidR="004C676C" w:rsidRPr="00836DB4" w:rsidRDefault="004C676C" w:rsidP="004C676C">
      <w:pPr>
        <w:pStyle w:val="Paragraphedeliste"/>
        <w:numPr>
          <w:ilvl w:val="0"/>
          <w:numId w:val="16"/>
        </w:numPr>
        <w:suppressAutoHyphens/>
        <w:spacing w:line="360" w:lineRule="auto"/>
        <w:rPr>
          <w:rFonts w:cs="Arial"/>
          <w:iCs/>
          <w:szCs w:val="22"/>
          <w:lang w:val="en-US"/>
        </w:rPr>
      </w:pPr>
      <w:r w:rsidRPr="00836DB4">
        <w:rPr>
          <w:rFonts w:cs="Arial"/>
          <w:iCs/>
          <w:szCs w:val="22"/>
          <w:lang w:val="en-US"/>
        </w:rPr>
        <w:t xml:space="preserve">Following the establishment of Spot Trading SE (EPEX Spot SE) with registered offices in Paris as of 30 September of this year, Powernext and EEX will integrate their entire spot trading activities in power under the umbrella of the newly established company by the end of the year. Both partners hold 50 percent of the shares in the SE each. </w:t>
      </w:r>
    </w:p>
    <w:p w:rsidR="004C676C" w:rsidRPr="00836DB4" w:rsidRDefault="004C676C" w:rsidP="004C676C">
      <w:pPr>
        <w:pStyle w:val="Paragraphedeliste"/>
        <w:numPr>
          <w:ilvl w:val="0"/>
          <w:numId w:val="16"/>
        </w:numPr>
        <w:suppressAutoHyphens/>
        <w:spacing w:line="360" w:lineRule="auto"/>
        <w:rPr>
          <w:rFonts w:cs="Arial"/>
          <w:iCs/>
          <w:szCs w:val="22"/>
          <w:lang w:val="en-US"/>
        </w:rPr>
      </w:pPr>
      <w:r w:rsidRPr="00836DB4">
        <w:rPr>
          <w:rFonts w:cs="Arial"/>
          <w:iCs/>
          <w:szCs w:val="22"/>
          <w:lang w:val="en-US"/>
        </w:rPr>
        <w:t xml:space="preserve">Retroactively as of 1st January 2008, EEX will transfer its trading in power derivatives to the newly established EEX Power Derivatives GmbH in Leipzig. </w:t>
      </w:r>
    </w:p>
    <w:p w:rsidR="004C676C" w:rsidRPr="00836DB4" w:rsidRDefault="004C676C" w:rsidP="004C676C">
      <w:pPr>
        <w:pStyle w:val="Paragraphedeliste"/>
        <w:numPr>
          <w:ilvl w:val="0"/>
          <w:numId w:val="16"/>
        </w:numPr>
        <w:suppressAutoHyphens/>
        <w:spacing w:line="360" w:lineRule="auto"/>
        <w:rPr>
          <w:rFonts w:cs="Arial"/>
          <w:iCs/>
          <w:szCs w:val="22"/>
          <w:lang w:val="en-US"/>
        </w:rPr>
      </w:pPr>
      <w:r w:rsidRPr="00836DB4">
        <w:rPr>
          <w:rFonts w:cs="Arial"/>
          <w:iCs/>
          <w:szCs w:val="22"/>
          <w:lang w:val="en-US"/>
        </w:rPr>
        <w:t xml:space="preserve">Retroactively as of 1st January 2009, Powernext will contribute the French power futures to the new GmbH [German limited liability company] in Leipzig and, in return, it will receive 20 percent of the shares in the company. </w:t>
      </w:r>
    </w:p>
    <w:p w:rsidR="004C676C" w:rsidRPr="00836DB4" w:rsidRDefault="004C676C" w:rsidP="004C676C">
      <w:pPr>
        <w:pStyle w:val="Paragraphedeliste"/>
        <w:numPr>
          <w:ilvl w:val="0"/>
          <w:numId w:val="16"/>
        </w:numPr>
        <w:suppressAutoHyphens/>
        <w:spacing w:line="360" w:lineRule="auto"/>
        <w:rPr>
          <w:rFonts w:cs="Arial"/>
          <w:iCs/>
          <w:szCs w:val="22"/>
          <w:lang w:val="en-US"/>
        </w:rPr>
      </w:pPr>
      <w:r w:rsidRPr="00836DB4">
        <w:rPr>
          <w:rFonts w:cs="Arial"/>
          <w:iCs/>
          <w:szCs w:val="22"/>
          <w:lang w:val="en-US"/>
        </w:rPr>
        <w:t>As of April 2009, Powernext will have its exchange trades cleared and settled via the EEX subsidiary European Commodity Clearing AG (ECC). At that time, ECC AG will also assume clearing of the French power futures which will be traded via the Leipzig-based derivatives market company.</w:t>
      </w:r>
    </w:p>
    <w:p w:rsidR="004C676C" w:rsidRPr="00836DB4" w:rsidRDefault="004C676C" w:rsidP="004C676C">
      <w:pPr>
        <w:suppressAutoHyphens/>
        <w:spacing w:line="360" w:lineRule="auto"/>
        <w:rPr>
          <w:rFonts w:cs="Arial"/>
          <w:iCs/>
          <w:szCs w:val="22"/>
          <w:lang w:val="en-US"/>
        </w:rPr>
      </w:pPr>
    </w:p>
    <w:p w:rsidR="004C676C" w:rsidRPr="00836DB4" w:rsidRDefault="004C676C" w:rsidP="004C676C">
      <w:pPr>
        <w:widowControl w:val="0"/>
        <w:suppressLineNumbers/>
        <w:suppressAutoHyphens/>
        <w:spacing w:before="0" w:line="360" w:lineRule="auto"/>
        <w:ind w:right="1132"/>
        <w:jc w:val="center"/>
        <w:outlineLvl w:val="0"/>
        <w:rPr>
          <w:caps/>
          <w:color w:val="4D4D4D"/>
          <w:sz w:val="34"/>
          <w:szCs w:val="34"/>
          <w:lang w:val="en-GB"/>
        </w:rPr>
      </w:pPr>
      <w:r w:rsidRPr="00836DB4">
        <w:rPr>
          <w:caps/>
          <w:color w:val="4D4D4D"/>
          <w:sz w:val="34"/>
          <w:szCs w:val="34"/>
          <w:lang w:val="en-GB"/>
        </w:rPr>
        <w:t>Benefits of the cooperation</w:t>
      </w:r>
    </w:p>
    <w:p w:rsidR="004C676C" w:rsidRDefault="004C676C" w:rsidP="004C676C">
      <w:pPr>
        <w:suppressAutoHyphens/>
        <w:spacing w:line="360" w:lineRule="auto"/>
        <w:rPr>
          <w:rFonts w:cs="Arial"/>
          <w:iCs/>
          <w:szCs w:val="22"/>
          <w:lang w:val="en-US"/>
        </w:rPr>
      </w:pPr>
      <w:r w:rsidRPr="00836DB4">
        <w:rPr>
          <w:rFonts w:cs="Arial"/>
          <w:iCs/>
          <w:szCs w:val="22"/>
          <w:lang w:val="en-US"/>
        </w:rPr>
        <w:t>The joint market structure will lead to more liquidity and will make the market for participants more attractive. The cooperation between EEX and Powernext will ensure a transparent and reliable wholesale price formation mechanism as well as standardisation and harmonisation of the trading and clearing processes.</w:t>
      </w:r>
    </w:p>
    <w:p w:rsidR="004C676C" w:rsidRPr="00836DB4" w:rsidRDefault="004C676C" w:rsidP="004C676C">
      <w:pPr>
        <w:suppressAutoHyphens/>
        <w:spacing w:line="360" w:lineRule="auto"/>
        <w:rPr>
          <w:rFonts w:cs="Arial"/>
          <w:iCs/>
          <w:szCs w:val="22"/>
          <w:lang w:val="en-US"/>
        </w:rPr>
      </w:pPr>
      <w:r w:rsidRPr="00836DB4">
        <w:rPr>
          <w:rFonts w:cs="Arial"/>
          <w:iCs/>
          <w:szCs w:val="22"/>
          <w:lang w:val="en-US"/>
        </w:rPr>
        <w:t xml:space="preserve">Geographically, the cooperation will include Germany, France, Austria and Switzerland, which together cover more than one third of the European consumption of electricity. The process for market coupling launched last year for an improved management of transmission </w:t>
      </w:r>
      <w:r w:rsidRPr="00836DB4">
        <w:rPr>
          <w:rFonts w:cs="Arial"/>
          <w:iCs/>
          <w:szCs w:val="22"/>
          <w:lang w:val="en-US"/>
        </w:rPr>
        <w:lastRenderedPageBreak/>
        <w:t>system bottlenecks in Central Western Europe (the Benelux, Germany and France) will be facilitated and continued to a significant degree through the cooperation between the two exchanges.</w:t>
      </w:r>
    </w:p>
    <w:p w:rsidR="004C676C" w:rsidRDefault="004C676C" w:rsidP="004C676C">
      <w:pPr>
        <w:widowControl w:val="0"/>
        <w:suppressLineNumbers/>
        <w:suppressAutoHyphens/>
        <w:spacing w:before="0" w:line="360" w:lineRule="auto"/>
        <w:ind w:right="1132"/>
        <w:outlineLvl w:val="0"/>
        <w:rPr>
          <w:caps/>
          <w:color w:val="4D4D4D"/>
          <w:sz w:val="34"/>
          <w:szCs w:val="34"/>
          <w:lang w:val="en-GB"/>
        </w:rPr>
      </w:pPr>
    </w:p>
    <w:p w:rsidR="004C676C" w:rsidRPr="00836DB4" w:rsidRDefault="004C676C" w:rsidP="004C676C">
      <w:pPr>
        <w:widowControl w:val="0"/>
        <w:suppressLineNumbers/>
        <w:suppressAutoHyphens/>
        <w:spacing w:before="0" w:line="360" w:lineRule="auto"/>
        <w:ind w:right="1132"/>
        <w:jc w:val="center"/>
        <w:outlineLvl w:val="0"/>
        <w:rPr>
          <w:caps/>
          <w:color w:val="4D4D4D"/>
          <w:sz w:val="34"/>
          <w:szCs w:val="34"/>
          <w:lang w:val="en-GB"/>
        </w:rPr>
      </w:pPr>
      <w:r w:rsidRPr="00836DB4">
        <w:rPr>
          <w:caps/>
          <w:color w:val="4D4D4D"/>
          <w:sz w:val="34"/>
          <w:szCs w:val="34"/>
          <w:lang w:val="en-GB"/>
        </w:rPr>
        <w:t>Market participants will benefit from:</w:t>
      </w:r>
    </w:p>
    <w:p w:rsidR="004C676C" w:rsidRPr="00030340" w:rsidRDefault="004C676C" w:rsidP="004C676C">
      <w:pPr>
        <w:pStyle w:val="Paragraphedeliste"/>
        <w:numPr>
          <w:ilvl w:val="0"/>
          <w:numId w:val="17"/>
        </w:numPr>
        <w:suppressAutoHyphens/>
        <w:spacing w:line="360" w:lineRule="auto"/>
        <w:rPr>
          <w:rFonts w:cs="Arial"/>
          <w:iCs/>
          <w:szCs w:val="22"/>
          <w:lang w:val="en-US"/>
        </w:rPr>
      </w:pPr>
      <w:r w:rsidRPr="00030340">
        <w:rPr>
          <w:rFonts w:cs="Arial"/>
          <w:iCs/>
          <w:szCs w:val="22"/>
          <w:lang w:val="en-US"/>
        </w:rPr>
        <w:t xml:space="preserve">Transparent and reliable wholesale price formation mechanism </w:t>
      </w:r>
    </w:p>
    <w:p w:rsidR="004C676C" w:rsidRPr="00030340" w:rsidRDefault="004C676C" w:rsidP="004C676C">
      <w:pPr>
        <w:pStyle w:val="Paragraphedeliste"/>
        <w:numPr>
          <w:ilvl w:val="0"/>
          <w:numId w:val="17"/>
        </w:numPr>
        <w:suppressAutoHyphens/>
        <w:spacing w:line="360" w:lineRule="auto"/>
        <w:rPr>
          <w:rFonts w:cs="Arial"/>
          <w:iCs/>
          <w:szCs w:val="22"/>
          <w:lang w:val="en-US"/>
        </w:rPr>
      </w:pPr>
      <w:r w:rsidRPr="00030340">
        <w:rPr>
          <w:rFonts w:cs="Arial"/>
          <w:iCs/>
          <w:szCs w:val="22"/>
          <w:lang w:val="en-US"/>
        </w:rPr>
        <w:t xml:space="preserve">Centralised and increased liquidity </w:t>
      </w:r>
    </w:p>
    <w:p w:rsidR="004C676C" w:rsidRPr="00030340" w:rsidRDefault="004C676C" w:rsidP="004C676C">
      <w:pPr>
        <w:pStyle w:val="Paragraphedeliste"/>
        <w:numPr>
          <w:ilvl w:val="0"/>
          <w:numId w:val="17"/>
        </w:numPr>
        <w:suppressAutoHyphens/>
        <w:spacing w:line="360" w:lineRule="auto"/>
        <w:rPr>
          <w:rFonts w:cs="Arial"/>
          <w:iCs/>
          <w:szCs w:val="22"/>
          <w:lang w:val="en-US"/>
        </w:rPr>
      </w:pPr>
      <w:r w:rsidRPr="00030340">
        <w:rPr>
          <w:rFonts w:cs="Arial"/>
          <w:iCs/>
          <w:szCs w:val="22"/>
          <w:lang w:val="en-US"/>
        </w:rPr>
        <w:t xml:space="preserve">Standardisation and harmonisation of the trading and clearing processes (incl. amission process, trading fees, trading system) </w:t>
      </w:r>
    </w:p>
    <w:p w:rsidR="004C676C" w:rsidRPr="00030340" w:rsidRDefault="004C676C" w:rsidP="004C676C">
      <w:pPr>
        <w:pStyle w:val="Paragraphedeliste"/>
        <w:numPr>
          <w:ilvl w:val="0"/>
          <w:numId w:val="17"/>
        </w:numPr>
        <w:suppressAutoHyphens/>
        <w:spacing w:line="360" w:lineRule="auto"/>
        <w:rPr>
          <w:rFonts w:cs="Arial"/>
          <w:iCs/>
          <w:szCs w:val="22"/>
          <w:lang w:val="en-US"/>
        </w:rPr>
      </w:pPr>
      <w:r w:rsidRPr="00030340">
        <w:rPr>
          <w:rFonts w:cs="Arial"/>
          <w:iCs/>
          <w:szCs w:val="22"/>
          <w:lang w:val="en-US"/>
        </w:rPr>
        <w:t xml:space="preserve">Best practice in transparency and surveillance standards </w:t>
      </w:r>
    </w:p>
    <w:p w:rsidR="004C676C" w:rsidRPr="00030340" w:rsidRDefault="004C676C" w:rsidP="004C676C">
      <w:pPr>
        <w:pStyle w:val="Paragraphedeliste"/>
        <w:numPr>
          <w:ilvl w:val="0"/>
          <w:numId w:val="17"/>
        </w:numPr>
        <w:suppressAutoHyphens/>
        <w:spacing w:line="360" w:lineRule="auto"/>
        <w:rPr>
          <w:rFonts w:cs="Arial"/>
          <w:iCs/>
          <w:szCs w:val="22"/>
          <w:lang w:val="en-US"/>
        </w:rPr>
      </w:pPr>
      <w:r w:rsidRPr="00030340">
        <w:rPr>
          <w:rFonts w:cs="Arial"/>
          <w:iCs/>
          <w:szCs w:val="22"/>
          <w:lang w:val="en-US"/>
        </w:rPr>
        <w:t xml:space="preserve">Highly effective clearing and risk management services </w:t>
      </w:r>
    </w:p>
    <w:p w:rsidR="004C676C" w:rsidRPr="00030340" w:rsidRDefault="004C676C" w:rsidP="004C676C">
      <w:pPr>
        <w:pStyle w:val="Paragraphedeliste"/>
        <w:numPr>
          <w:ilvl w:val="0"/>
          <w:numId w:val="17"/>
        </w:numPr>
        <w:suppressAutoHyphens/>
        <w:spacing w:line="360" w:lineRule="auto"/>
        <w:rPr>
          <w:rFonts w:cs="Arial"/>
          <w:iCs/>
          <w:szCs w:val="22"/>
          <w:lang w:val="en-US"/>
        </w:rPr>
      </w:pPr>
      <w:r w:rsidRPr="00030340">
        <w:rPr>
          <w:rFonts w:cs="Arial"/>
          <w:iCs/>
          <w:szCs w:val="22"/>
          <w:lang w:val="en-US"/>
        </w:rPr>
        <w:t>More effective governance and implementation of Market Coupling / Splitting projects.</w:t>
      </w:r>
    </w:p>
    <w:p w:rsidR="004C676C" w:rsidRPr="00836DB4" w:rsidRDefault="004C676C" w:rsidP="004C676C">
      <w:pPr>
        <w:suppressAutoHyphens/>
        <w:spacing w:line="360" w:lineRule="auto"/>
        <w:rPr>
          <w:rFonts w:cs="Arial"/>
          <w:iCs/>
          <w:szCs w:val="22"/>
          <w:lang w:val="en-US"/>
        </w:rPr>
      </w:pPr>
    </w:p>
    <w:p w:rsidR="004C676C" w:rsidRDefault="004C676C" w:rsidP="004C676C">
      <w:pPr>
        <w:spacing w:before="0" w:line="240" w:lineRule="auto"/>
        <w:jc w:val="left"/>
        <w:rPr>
          <w:caps/>
          <w:color w:val="4D4D4D"/>
          <w:sz w:val="34"/>
          <w:szCs w:val="34"/>
          <w:lang w:val="en-GB"/>
        </w:rPr>
      </w:pPr>
      <w:r>
        <w:rPr>
          <w:caps/>
          <w:color w:val="4D4D4D"/>
          <w:sz w:val="34"/>
          <w:szCs w:val="34"/>
          <w:lang w:val="en-GB"/>
        </w:rPr>
        <w:br w:type="page"/>
      </w:r>
    </w:p>
    <w:p w:rsidR="004C676C" w:rsidRPr="00836DB4" w:rsidRDefault="004C676C" w:rsidP="004C676C">
      <w:pPr>
        <w:widowControl w:val="0"/>
        <w:suppressLineNumbers/>
        <w:suppressAutoHyphens/>
        <w:spacing w:before="0" w:line="360" w:lineRule="auto"/>
        <w:ind w:right="1132"/>
        <w:outlineLvl w:val="0"/>
        <w:rPr>
          <w:caps/>
          <w:color w:val="4D4D4D"/>
          <w:sz w:val="34"/>
          <w:szCs w:val="34"/>
          <w:lang w:val="en-GB"/>
        </w:rPr>
      </w:pPr>
      <w:r w:rsidRPr="00836DB4">
        <w:rPr>
          <w:caps/>
          <w:color w:val="4D4D4D"/>
          <w:sz w:val="34"/>
          <w:szCs w:val="34"/>
          <w:lang w:val="en-GB"/>
        </w:rPr>
        <w:lastRenderedPageBreak/>
        <w:t>Implementation of a common power spot market:</w:t>
      </w:r>
    </w:p>
    <w:p w:rsidR="004C676C" w:rsidRDefault="004C676C" w:rsidP="004C676C">
      <w:pPr>
        <w:widowControl w:val="0"/>
        <w:suppressLineNumbers/>
        <w:suppressAutoHyphens/>
        <w:spacing w:before="0" w:line="360" w:lineRule="auto"/>
        <w:ind w:right="1132"/>
        <w:outlineLvl w:val="0"/>
        <w:rPr>
          <w:rFonts w:cs="Arial"/>
          <w:iCs/>
          <w:szCs w:val="22"/>
          <w:lang w:val="en-US"/>
        </w:rPr>
      </w:pPr>
      <w:r w:rsidRPr="00030340">
        <w:rPr>
          <w:rFonts w:cs="Arial"/>
          <w:iCs/>
          <w:noProof/>
          <w:szCs w:val="22"/>
          <w:lang w:val="fr-FR" w:eastAsia="fr-FR"/>
        </w:rPr>
        <w:drawing>
          <wp:inline distT="0" distB="0" distL="0" distR="0">
            <wp:extent cx="4514850" cy="2543175"/>
            <wp:effectExtent l="19050" t="0" r="0" b="0"/>
            <wp:docPr id="4" name="Image 1" descr="cooperation_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peration_steps.jpg"/>
                    <pic:cNvPicPr>
                      <a:picLocks noChangeAspect="1" noChangeArrowheads="1"/>
                    </pic:cNvPicPr>
                  </pic:nvPicPr>
                  <pic:blipFill>
                    <a:blip r:embed="rId7"/>
                    <a:srcRect/>
                    <a:stretch>
                      <a:fillRect/>
                    </a:stretch>
                  </pic:blipFill>
                  <pic:spPr bwMode="auto">
                    <a:xfrm>
                      <a:off x="0" y="0"/>
                      <a:ext cx="4514850" cy="2543175"/>
                    </a:xfrm>
                    <a:prstGeom prst="rect">
                      <a:avLst/>
                    </a:prstGeom>
                    <a:noFill/>
                    <a:ln w="9525">
                      <a:noFill/>
                      <a:miter lim="800000"/>
                      <a:headEnd/>
                      <a:tailEnd/>
                    </a:ln>
                  </pic:spPr>
                </pic:pic>
              </a:graphicData>
            </a:graphic>
          </wp:inline>
        </w:drawing>
      </w:r>
    </w:p>
    <w:p w:rsidR="004C676C" w:rsidRDefault="004C676C" w:rsidP="004C676C">
      <w:pPr>
        <w:widowControl w:val="0"/>
        <w:suppressLineNumbers/>
        <w:suppressAutoHyphens/>
        <w:spacing w:before="0" w:line="360" w:lineRule="auto"/>
        <w:ind w:right="1132"/>
        <w:outlineLvl w:val="0"/>
        <w:rPr>
          <w:rFonts w:cs="Arial"/>
          <w:iCs/>
          <w:szCs w:val="22"/>
          <w:lang w:val="en-US"/>
        </w:rPr>
      </w:pPr>
    </w:p>
    <w:p w:rsidR="004C676C" w:rsidRDefault="004C676C" w:rsidP="004C676C">
      <w:pPr>
        <w:widowControl w:val="0"/>
        <w:suppressLineNumbers/>
        <w:suppressAutoHyphens/>
        <w:spacing w:before="0" w:line="360" w:lineRule="auto"/>
        <w:ind w:right="1132"/>
        <w:outlineLvl w:val="0"/>
        <w:rPr>
          <w:caps/>
          <w:color w:val="4D4D4D"/>
          <w:sz w:val="34"/>
          <w:szCs w:val="34"/>
          <w:lang w:val="en-GB"/>
        </w:rPr>
      </w:pPr>
    </w:p>
    <w:p w:rsidR="004C676C" w:rsidRPr="00030340" w:rsidRDefault="004C676C" w:rsidP="004C676C">
      <w:pPr>
        <w:widowControl w:val="0"/>
        <w:suppressLineNumbers/>
        <w:suppressAutoHyphens/>
        <w:spacing w:before="0" w:line="360" w:lineRule="auto"/>
        <w:ind w:right="1132"/>
        <w:outlineLvl w:val="0"/>
        <w:rPr>
          <w:caps/>
          <w:color w:val="4D4D4D"/>
          <w:sz w:val="34"/>
          <w:szCs w:val="34"/>
          <w:lang w:val="en-GB"/>
        </w:rPr>
      </w:pPr>
      <w:r w:rsidRPr="00030340">
        <w:rPr>
          <w:caps/>
          <w:color w:val="4D4D4D"/>
          <w:sz w:val="34"/>
          <w:szCs w:val="34"/>
          <w:lang w:val="en-GB"/>
        </w:rPr>
        <w:t>Structure of the EEX-Powernext cooperation:</w:t>
      </w:r>
    </w:p>
    <w:p w:rsidR="004C676C" w:rsidRDefault="004C676C" w:rsidP="004C676C">
      <w:pPr>
        <w:widowControl w:val="0"/>
        <w:suppressLineNumbers/>
        <w:suppressAutoHyphens/>
        <w:spacing w:before="0" w:line="360" w:lineRule="auto"/>
        <w:ind w:right="1132"/>
        <w:outlineLvl w:val="0"/>
        <w:rPr>
          <w:rFonts w:cs="Arial"/>
          <w:b/>
          <w:bCs/>
          <w:caps/>
          <w:color w:val="333333"/>
          <w:sz w:val="26"/>
          <w:szCs w:val="26"/>
          <w:lang w:val="en-US" w:eastAsia="fr-FR"/>
        </w:rPr>
      </w:pPr>
      <w:r w:rsidRPr="00030340">
        <w:rPr>
          <w:rFonts w:cs="Arial"/>
          <w:b/>
          <w:bCs/>
          <w:caps/>
          <w:noProof/>
          <w:color w:val="333333"/>
          <w:sz w:val="26"/>
          <w:szCs w:val="26"/>
          <w:lang w:val="fr-FR" w:eastAsia="fr-FR"/>
        </w:rPr>
        <w:drawing>
          <wp:inline distT="0" distB="0" distL="0" distR="0">
            <wp:extent cx="4105275" cy="2324100"/>
            <wp:effectExtent l="19050" t="0" r="9525" b="0"/>
            <wp:docPr id="8" name="Image 2" descr="cooperation_stru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operation_structure.jpg"/>
                    <pic:cNvPicPr>
                      <a:picLocks noChangeAspect="1" noChangeArrowheads="1"/>
                    </pic:cNvPicPr>
                  </pic:nvPicPr>
                  <pic:blipFill>
                    <a:blip r:embed="rId8"/>
                    <a:srcRect/>
                    <a:stretch>
                      <a:fillRect/>
                    </a:stretch>
                  </pic:blipFill>
                  <pic:spPr bwMode="auto">
                    <a:xfrm>
                      <a:off x="0" y="0"/>
                      <a:ext cx="4105275" cy="2324100"/>
                    </a:xfrm>
                    <a:prstGeom prst="rect">
                      <a:avLst/>
                    </a:prstGeom>
                    <a:noFill/>
                    <a:ln w="9525">
                      <a:noFill/>
                      <a:miter lim="800000"/>
                      <a:headEnd/>
                      <a:tailEnd/>
                    </a:ln>
                  </pic:spPr>
                </pic:pic>
              </a:graphicData>
            </a:graphic>
          </wp:inline>
        </w:drawing>
      </w:r>
    </w:p>
    <w:p w:rsidR="004C676C" w:rsidRPr="00BB29BD" w:rsidRDefault="004C676C" w:rsidP="00BB29BD">
      <w:pPr>
        <w:spacing w:line="360" w:lineRule="auto"/>
        <w:rPr>
          <w:rFonts w:cs="Arial"/>
          <w:iCs/>
          <w:szCs w:val="22"/>
          <w:lang w:val="en-US"/>
        </w:rPr>
      </w:pPr>
    </w:p>
    <w:sectPr w:rsidR="004C676C" w:rsidRPr="00BB29BD" w:rsidSect="006105DA">
      <w:headerReference w:type="default" r:id="rId9"/>
      <w:footerReference w:type="even" r:id="rId10"/>
      <w:footerReference w:type="default" r:id="rId11"/>
      <w:pgSz w:w="11906" w:h="16838" w:code="9"/>
      <w:pgMar w:top="2126" w:right="1418" w:bottom="1134" w:left="1418" w:header="567" w:footer="567"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647" w:rsidRDefault="00CF4647">
      <w:r>
        <w:separator/>
      </w:r>
    </w:p>
  </w:endnote>
  <w:endnote w:type="continuationSeparator" w:id="1">
    <w:p w:rsidR="00CF4647" w:rsidRDefault="00CF46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00" w:rsidRDefault="00BF4142">
    <w:pPr>
      <w:pStyle w:val="Pieddepage"/>
      <w:framePr w:wrap="around" w:vAnchor="text" w:hAnchor="margin" w:xAlign="right" w:y="1"/>
      <w:rPr>
        <w:rStyle w:val="Numrodepage"/>
      </w:rPr>
    </w:pPr>
    <w:r>
      <w:rPr>
        <w:rStyle w:val="Numrodepage"/>
      </w:rPr>
      <w:fldChar w:fldCharType="begin"/>
    </w:r>
    <w:r w:rsidR="007F5800">
      <w:rPr>
        <w:rStyle w:val="Numrodepage"/>
      </w:rPr>
      <w:instrText xml:space="preserve">PAGE  </w:instrText>
    </w:r>
    <w:r>
      <w:rPr>
        <w:rStyle w:val="Numrodepage"/>
      </w:rPr>
      <w:fldChar w:fldCharType="end"/>
    </w:r>
  </w:p>
  <w:p w:rsidR="007F5800" w:rsidRDefault="007F5800">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00" w:rsidRDefault="00BF4142" w:rsidP="00A3281C">
    <w:pPr>
      <w:pStyle w:val="Pieddepage"/>
      <w:framePr w:wrap="around" w:vAnchor="text" w:hAnchor="margin" w:xAlign="right" w:y="1"/>
      <w:jc w:val="right"/>
      <w:rPr>
        <w:rStyle w:val="Numrodepage"/>
      </w:rPr>
    </w:pPr>
    <w:r>
      <w:rPr>
        <w:rStyle w:val="Numrodepage"/>
      </w:rPr>
      <w:fldChar w:fldCharType="begin"/>
    </w:r>
    <w:r w:rsidR="007F5800">
      <w:rPr>
        <w:rStyle w:val="Numrodepage"/>
      </w:rPr>
      <w:instrText xml:space="preserve">PAGE  </w:instrText>
    </w:r>
    <w:r>
      <w:rPr>
        <w:rStyle w:val="Numrodepage"/>
      </w:rPr>
      <w:fldChar w:fldCharType="separate"/>
    </w:r>
    <w:r w:rsidR="004C676C">
      <w:rPr>
        <w:rStyle w:val="Numrodepage"/>
        <w:noProof/>
      </w:rPr>
      <w:t>1</w:t>
    </w:r>
    <w:r>
      <w:rPr>
        <w:rStyle w:val="Numrodepage"/>
      </w:rPr>
      <w:fldChar w:fldCharType="end"/>
    </w:r>
  </w:p>
  <w:p w:rsidR="007F5800" w:rsidRDefault="00BF4142">
    <w:pPr>
      <w:pStyle w:val="Pieddepage"/>
      <w:ind w:right="360"/>
      <w:rPr>
        <w:lang w:val="en-GB"/>
      </w:rPr>
    </w:pPr>
    <w:r w:rsidRPr="00BF4142">
      <w:rPr>
        <w:noProof/>
        <w:snapToGrid/>
      </w:rPr>
      <w:pict>
        <v:rect id="_x0000_s2049" style="position:absolute;left:0;text-align:left;margin-left:-.1pt;margin-top:-12.9pt;width:453pt;height:8.95pt;z-index:251656704" fillcolor="#c3c4c7" stroked="f"/>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647" w:rsidRDefault="00CF4647">
      <w:r>
        <w:separator/>
      </w:r>
    </w:p>
  </w:footnote>
  <w:footnote w:type="continuationSeparator" w:id="1">
    <w:p w:rsidR="00CF4647" w:rsidRDefault="00CF46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00" w:rsidRDefault="00A824A0">
    <w:pPr>
      <w:pStyle w:val="En-tte"/>
      <w:tabs>
        <w:tab w:val="clear" w:pos="4536"/>
        <w:tab w:val="clear" w:pos="9072"/>
        <w:tab w:val="left" w:pos="1701"/>
      </w:tabs>
      <w:spacing w:before="2040"/>
      <w:ind w:right="-29"/>
      <w:rPr>
        <w:sz w:val="18"/>
      </w:rPr>
    </w:pPr>
    <w:r>
      <w:rPr>
        <w:noProof/>
        <w:lang w:val="fr-FR" w:eastAsia="fr-FR"/>
      </w:rPr>
      <w:drawing>
        <wp:anchor distT="0" distB="0" distL="114300" distR="114300" simplePos="0" relativeHeight="251657728" behindDoc="0" locked="0" layoutInCell="1" allowOverlap="1">
          <wp:simplePos x="0" y="0"/>
          <wp:positionH relativeFrom="column">
            <wp:posOffset>3810</wp:posOffset>
          </wp:positionH>
          <wp:positionV relativeFrom="paragraph">
            <wp:posOffset>329565</wp:posOffset>
          </wp:positionV>
          <wp:extent cx="1904365" cy="494030"/>
          <wp:effectExtent l="19050" t="0" r="635" b="0"/>
          <wp:wrapNone/>
          <wp:docPr id="2" name="Image 2" descr="Logo_E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PEX"/>
                  <pic:cNvPicPr>
                    <a:picLocks noChangeAspect="1" noChangeArrowheads="1"/>
                  </pic:cNvPicPr>
                </pic:nvPicPr>
                <pic:blipFill>
                  <a:blip r:embed="rId1"/>
                  <a:srcRect/>
                  <a:stretch>
                    <a:fillRect/>
                  </a:stretch>
                </pic:blipFill>
                <pic:spPr bwMode="auto">
                  <a:xfrm>
                    <a:off x="0" y="0"/>
                    <a:ext cx="1904365" cy="494030"/>
                  </a:xfrm>
                  <a:prstGeom prst="rect">
                    <a:avLst/>
                  </a:prstGeom>
                  <a:noFill/>
                  <a:ln w="9525">
                    <a:noFill/>
                    <a:miter lim="800000"/>
                    <a:headEnd/>
                    <a:tailEnd/>
                  </a:ln>
                </pic:spPr>
              </pic:pic>
            </a:graphicData>
          </a:graphic>
        </wp:anchor>
      </w:drawing>
    </w:r>
    <w:r>
      <w:rPr>
        <w:noProof/>
        <w:sz w:val="18"/>
        <w:lang w:val="fr-FR" w:eastAsia="fr-FR"/>
      </w:rPr>
      <w:drawing>
        <wp:anchor distT="0" distB="0" distL="114300" distR="114300" simplePos="0" relativeHeight="251658752" behindDoc="0" locked="0" layoutInCell="1" allowOverlap="1">
          <wp:simplePos x="0" y="0"/>
          <wp:positionH relativeFrom="column">
            <wp:posOffset>0</wp:posOffset>
          </wp:positionH>
          <wp:positionV relativeFrom="paragraph">
            <wp:posOffset>941705</wp:posOffset>
          </wp:positionV>
          <wp:extent cx="5748020" cy="213360"/>
          <wp:effectExtent l="19050" t="0" r="5080" b="0"/>
          <wp:wrapNone/>
          <wp:docPr id="3" name="Image 3" descr="stripes_inhal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ipes_inhalte"/>
                  <pic:cNvPicPr>
                    <a:picLocks noChangeAspect="1" noChangeArrowheads="1"/>
                  </pic:cNvPicPr>
                </pic:nvPicPr>
                <pic:blipFill>
                  <a:blip r:embed="rId2"/>
                  <a:srcRect/>
                  <a:stretch>
                    <a:fillRect/>
                  </a:stretch>
                </pic:blipFill>
                <pic:spPr bwMode="auto">
                  <a:xfrm>
                    <a:off x="0" y="0"/>
                    <a:ext cx="5748020" cy="21336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0D4673C6"/>
    <w:lvl w:ilvl="0">
      <w:start w:val="1"/>
      <w:numFmt w:val="decimal"/>
      <w:lvlText w:val="%1."/>
      <w:lvlJc w:val="left"/>
      <w:pPr>
        <w:tabs>
          <w:tab w:val="num" w:pos="643"/>
        </w:tabs>
        <w:ind w:left="643" w:hanging="360"/>
      </w:pPr>
    </w:lvl>
  </w:abstractNum>
  <w:abstractNum w:abstractNumId="1">
    <w:nsid w:val="FFFFFF88"/>
    <w:multiLevelType w:val="singleLevel"/>
    <w:tmpl w:val="3C6EA106"/>
    <w:lvl w:ilvl="0">
      <w:start w:val="1"/>
      <w:numFmt w:val="decimal"/>
      <w:pStyle w:val="Listenumros"/>
      <w:lvlText w:val="%1."/>
      <w:lvlJc w:val="left"/>
      <w:pPr>
        <w:tabs>
          <w:tab w:val="num" w:pos="360"/>
        </w:tabs>
        <w:ind w:left="360" w:hanging="360"/>
      </w:pPr>
    </w:lvl>
  </w:abstractNum>
  <w:abstractNum w:abstractNumId="2">
    <w:nsid w:val="FFFFFF89"/>
    <w:multiLevelType w:val="singleLevel"/>
    <w:tmpl w:val="B016EA08"/>
    <w:lvl w:ilvl="0">
      <w:start w:val="1"/>
      <w:numFmt w:val="bullet"/>
      <w:lvlText w:val=""/>
      <w:lvlJc w:val="left"/>
      <w:pPr>
        <w:tabs>
          <w:tab w:val="num" w:pos="360"/>
        </w:tabs>
        <w:ind w:left="360" w:hanging="360"/>
      </w:pPr>
      <w:rPr>
        <w:rFonts w:ascii="Symbol" w:hAnsi="Symbol" w:hint="default"/>
      </w:rPr>
    </w:lvl>
  </w:abstractNum>
  <w:abstractNum w:abstractNumId="3">
    <w:nsid w:val="15632BE6"/>
    <w:multiLevelType w:val="singleLevel"/>
    <w:tmpl w:val="D42A0356"/>
    <w:lvl w:ilvl="0">
      <w:start w:val="1"/>
      <w:numFmt w:val="bullet"/>
      <w:pStyle w:val="Listepuces"/>
      <w:lvlText w:val=""/>
      <w:lvlJc w:val="left"/>
      <w:pPr>
        <w:tabs>
          <w:tab w:val="num" w:pos="360"/>
        </w:tabs>
        <w:ind w:left="360" w:hanging="360"/>
      </w:pPr>
      <w:rPr>
        <w:rFonts w:ascii="Symbol" w:hAnsi="Symbol" w:hint="default"/>
      </w:rPr>
    </w:lvl>
  </w:abstractNum>
  <w:abstractNum w:abstractNumId="4">
    <w:nsid w:val="17B82CED"/>
    <w:multiLevelType w:val="hybridMultilevel"/>
    <w:tmpl w:val="5BAEA45C"/>
    <w:lvl w:ilvl="0" w:tplc="A7666F58">
      <w:start w:val="1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1B2D3BDA"/>
    <w:multiLevelType w:val="hybridMultilevel"/>
    <w:tmpl w:val="83EA4416"/>
    <w:lvl w:ilvl="0" w:tplc="2D1286B0">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3A551C8D"/>
    <w:multiLevelType w:val="hybridMultilevel"/>
    <w:tmpl w:val="053E8B7A"/>
    <w:lvl w:ilvl="0" w:tplc="0407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736749D"/>
    <w:multiLevelType w:val="multilevel"/>
    <w:tmpl w:val="CD780E36"/>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59A14451"/>
    <w:multiLevelType w:val="multilevel"/>
    <w:tmpl w:val="5278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274611"/>
    <w:multiLevelType w:val="multilevel"/>
    <w:tmpl w:val="1A628E20"/>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440"/>
        </w:tabs>
        <w:ind w:left="1152" w:hanging="1152"/>
      </w:pPr>
    </w:lvl>
    <w:lvl w:ilvl="6">
      <w:start w:val="1"/>
      <w:numFmt w:val="decimal"/>
      <w:pStyle w:val="Titre7"/>
      <w:lvlText w:val="%1.%2.%3.%4.%5.%6.%7"/>
      <w:lvlJc w:val="left"/>
      <w:pPr>
        <w:tabs>
          <w:tab w:val="num" w:pos="1800"/>
        </w:tabs>
        <w:ind w:left="1296" w:hanging="1296"/>
      </w:pPr>
    </w:lvl>
    <w:lvl w:ilvl="7">
      <w:start w:val="1"/>
      <w:numFmt w:val="decimal"/>
      <w:pStyle w:val="Titre8"/>
      <w:lvlText w:val="%1.%2.%3.%4.%5.%6.%7.%8"/>
      <w:lvlJc w:val="left"/>
      <w:pPr>
        <w:tabs>
          <w:tab w:val="num" w:pos="1800"/>
        </w:tabs>
        <w:ind w:left="1440" w:hanging="1440"/>
      </w:pPr>
    </w:lvl>
    <w:lvl w:ilvl="8">
      <w:start w:val="1"/>
      <w:numFmt w:val="decimal"/>
      <w:pStyle w:val="Titre9"/>
      <w:lvlText w:val="%1.%2.%3.%4.%5.%6.%7.%8.%9"/>
      <w:lvlJc w:val="left"/>
      <w:pPr>
        <w:tabs>
          <w:tab w:val="num" w:pos="2160"/>
        </w:tabs>
        <w:ind w:left="1584" w:hanging="1584"/>
      </w:pPr>
    </w:lvl>
  </w:abstractNum>
  <w:abstractNum w:abstractNumId="10">
    <w:nsid w:val="66133FF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6EE923A0"/>
    <w:multiLevelType w:val="hybridMultilevel"/>
    <w:tmpl w:val="F32201C0"/>
    <w:lvl w:ilvl="0" w:tplc="0407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29D4397"/>
    <w:multiLevelType w:val="hybridMultilevel"/>
    <w:tmpl w:val="5A5C1276"/>
    <w:lvl w:ilvl="0" w:tplc="0407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F4C6CE9"/>
    <w:multiLevelType w:val="hybridMultilevel"/>
    <w:tmpl w:val="E70EBA74"/>
    <w:lvl w:ilvl="0" w:tplc="B25870E2">
      <w:numFmt w:val="bullet"/>
      <w:lvlText w:val="-"/>
      <w:lvlJc w:val="left"/>
      <w:pPr>
        <w:tabs>
          <w:tab w:val="num" w:pos="927"/>
        </w:tabs>
        <w:ind w:left="927"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0"/>
  </w:num>
  <w:num w:numId="3">
    <w:abstractNumId w:val="1"/>
  </w:num>
  <w:num w:numId="4">
    <w:abstractNumId w:val="2"/>
  </w:num>
  <w:num w:numId="5">
    <w:abstractNumId w:val="9"/>
  </w:num>
  <w:num w:numId="6">
    <w:abstractNumId w:val="2"/>
  </w:num>
  <w:num w:numId="7">
    <w:abstractNumId w:val="7"/>
  </w:num>
  <w:num w:numId="8">
    <w:abstractNumId w:val="2"/>
  </w:num>
  <w:num w:numId="9">
    <w:abstractNumId w:val="2"/>
  </w:num>
  <w:num w:numId="10">
    <w:abstractNumId w:val="3"/>
  </w:num>
  <w:num w:numId="11">
    <w:abstractNumId w:val="4"/>
  </w:num>
  <w:num w:numId="12">
    <w:abstractNumId w:val="13"/>
  </w:num>
  <w:num w:numId="13">
    <w:abstractNumId w:val="8"/>
  </w:num>
  <w:num w:numId="14">
    <w:abstractNumId w:val="5"/>
  </w:num>
  <w:num w:numId="15">
    <w:abstractNumId w:val="6"/>
  </w:num>
  <w:num w:numId="16">
    <w:abstractNumId w:val="12"/>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6146">
      <o:colormru v:ext="edit" colors="#4d4d4d,#c3c4c7"/>
    </o:shapedefaults>
    <o:shapelayout v:ext="edit">
      <o:idmap v:ext="edit" data="2"/>
    </o:shapelayout>
  </w:hdrShapeDefaults>
  <w:footnotePr>
    <w:footnote w:id="0"/>
    <w:footnote w:id="1"/>
  </w:footnotePr>
  <w:endnotePr>
    <w:endnote w:id="0"/>
    <w:endnote w:id="1"/>
  </w:endnotePr>
  <w:compat/>
  <w:rsids>
    <w:rsidRoot w:val="008C75CC"/>
    <w:rsid w:val="00036EB4"/>
    <w:rsid w:val="00052882"/>
    <w:rsid w:val="000541FF"/>
    <w:rsid w:val="00095BF5"/>
    <w:rsid w:val="00163B61"/>
    <w:rsid w:val="0026205C"/>
    <w:rsid w:val="003E2BDB"/>
    <w:rsid w:val="0041786E"/>
    <w:rsid w:val="00420A28"/>
    <w:rsid w:val="004354D4"/>
    <w:rsid w:val="00464F22"/>
    <w:rsid w:val="004C676C"/>
    <w:rsid w:val="004E3723"/>
    <w:rsid w:val="00554AEB"/>
    <w:rsid w:val="00583728"/>
    <w:rsid w:val="005C67DF"/>
    <w:rsid w:val="005F4E09"/>
    <w:rsid w:val="006105DA"/>
    <w:rsid w:val="00610E5D"/>
    <w:rsid w:val="00697CB0"/>
    <w:rsid w:val="006A1772"/>
    <w:rsid w:val="007467F0"/>
    <w:rsid w:val="00753857"/>
    <w:rsid w:val="00784DB6"/>
    <w:rsid w:val="007A5B7F"/>
    <w:rsid w:val="007A7402"/>
    <w:rsid w:val="007B63EE"/>
    <w:rsid w:val="007E53CB"/>
    <w:rsid w:val="007F42D5"/>
    <w:rsid w:val="007F5800"/>
    <w:rsid w:val="0082459C"/>
    <w:rsid w:val="0082723D"/>
    <w:rsid w:val="008C75CC"/>
    <w:rsid w:val="00927199"/>
    <w:rsid w:val="009405FD"/>
    <w:rsid w:val="00960BBB"/>
    <w:rsid w:val="009624A2"/>
    <w:rsid w:val="00A3281C"/>
    <w:rsid w:val="00A824A0"/>
    <w:rsid w:val="00AA3F45"/>
    <w:rsid w:val="00AC3C69"/>
    <w:rsid w:val="00B3666A"/>
    <w:rsid w:val="00B4541E"/>
    <w:rsid w:val="00B5416B"/>
    <w:rsid w:val="00B638D1"/>
    <w:rsid w:val="00BB29BD"/>
    <w:rsid w:val="00BF4142"/>
    <w:rsid w:val="00C04DF8"/>
    <w:rsid w:val="00C30C7F"/>
    <w:rsid w:val="00C63FB3"/>
    <w:rsid w:val="00CC4AB2"/>
    <w:rsid w:val="00CF4647"/>
    <w:rsid w:val="00D37D44"/>
    <w:rsid w:val="00D547A9"/>
    <w:rsid w:val="00D82854"/>
    <w:rsid w:val="00DB72C9"/>
    <w:rsid w:val="00E14F37"/>
    <w:rsid w:val="00E21065"/>
    <w:rsid w:val="00E32BD8"/>
    <w:rsid w:val="00E33CEB"/>
    <w:rsid w:val="00E41FDB"/>
    <w:rsid w:val="00E969A5"/>
    <w:rsid w:val="00EA345D"/>
    <w:rsid w:val="00ED4F09"/>
    <w:rsid w:val="00F53ECB"/>
    <w:rsid w:val="00F77E18"/>
    <w:rsid w:val="00FE39CC"/>
    <w:rsid w:val="00FE4CB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ru v:ext="edit" colors="#4d4d4d,#c3c4c7"/>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5DA"/>
    <w:pPr>
      <w:spacing w:before="120" w:line="300" w:lineRule="exact"/>
      <w:jc w:val="both"/>
    </w:pPr>
    <w:rPr>
      <w:rFonts w:ascii="Arial" w:hAnsi="Arial"/>
      <w:sz w:val="22"/>
      <w:lang w:val="de-DE" w:eastAsia="de-DE"/>
    </w:rPr>
  </w:style>
  <w:style w:type="paragraph" w:styleId="Titre1">
    <w:name w:val="heading 1"/>
    <w:basedOn w:val="Normal"/>
    <w:next w:val="Normal"/>
    <w:qFormat/>
    <w:rsid w:val="006105DA"/>
    <w:pPr>
      <w:keepNext/>
      <w:pageBreakBefore/>
      <w:numPr>
        <w:numId w:val="5"/>
      </w:numPr>
      <w:shd w:val="solid" w:color="auto" w:fill="FFFFFF"/>
      <w:tabs>
        <w:tab w:val="clear" w:pos="432"/>
        <w:tab w:val="left" w:pos="851"/>
        <w:tab w:val="left" w:pos="1418"/>
        <w:tab w:val="right" w:pos="9923"/>
      </w:tabs>
      <w:spacing w:before="360" w:after="120" w:line="240" w:lineRule="auto"/>
      <w:ind w:left="851" w:hanging="851"/>
      <w:outlineLvl w:val="0"/>
    </w:pPr>
    <w:rPr>
      <w:b/>
      <w:color w:val="FFFFFF"/>
      <w:kern w:val="28"/>
      <w:sz w:val="38"/>
    </w:rPr>
  </w:style>
  <w:style w:type="paragraph" w:styleId="Titre2">
    <w:name w:val="heading 2"/>
    <w:basedOn w:val="Normal"/>
    <w:next w:val="Normal"/>
    <w:qFormat/>
    <w:rsid w:val="006105DA"/>
    <w:pPr>
      <w:keepNext/>
      <w:numPr>
        <w:ilvl w:val="1"/>
        <w:numId w:val="5"/>
      </w:numPr>
      <w:tabs>
        <w:tab w:val="clear" w:pos="576"/>
        <w:tab w:val="left" w:pos="851"/>
        <w:tab w:val="right" w:pos="9639"/>
      </w:tabs>
      <w:spacing w:before="360"/>
      <w:ind w:left="851" w:hanging="851"/>
      <w:outlineLvl w:val="1"/>
    </w:pPr>
    <w:rPr>
      <w:b/>
      <w:sz w:val="30"/>
    </w:rPr>
  </w:style>
  <w:style w:type="paragraph" w:styleId="Titre3">
    <w:name w:val="heading 3"/>
    <w:basedOn w:val="Normal"/>
    <w:next w:val="Normal"/>
    <w:qFormat/>
    <w:rsid w:val="006105DA"/>
    <w:pPr>
      <w:keepNext/>
      <w:numPr>
        <w:ilvl w:val="2"/>
        <w:numId w:val="5"/>
      </w:numPr>
      <w:spacing w:before="240"/>
      <w:outlineLvl w:val="2"/>
    </w:pPr>
    <w:rPr>
      <w:b/>
    </w:rPr>
  </w:style>
  <w:style w:type="paragraph" w:styleId="Titre4">
    <w:name w:val="heading 4"/>
    <w:basedOn w:val="Normal"/>
    <w:next w:val="Normal"/>
    <w:qFormat/>
    <w:rsid w:val="006105DA"/>
    <w:pPr>
      <w:keepNext/>
      <w:numPr>
        <w:ilvl w:val="3"/>
        <w:numId w:val="5"/>
      </w:numPr>
      <w:spacing w:before="240"/>
      <w:ind w:left="862" w:hanging="862"/>
      <w:outlineLvl w:val="3"/>
    </w:pPr>
    <w:rPr>
      <w:bCs/>
      <w:i/>
      <w:iCs/>
    </w:rPr>
  </w:style>
  <w:style w:type="paragraph" w:styleId="Titre5">
    <w:name w:val="heading 5"/>
    <w:basedOn w:val="Normal"/>
    <w:next w:val="Normal"/>
    <w:qFormat/>
    <w:rsid w:val="006105DA"/>
    <w:pPr>
      <w:numPr>
        <w:ilvl w:val="4"/>
        <w:numId w:val="5"/>
      </w:numPr>
      <w:spacing w:before="240" w:after="60"/>
      <w:outlineLvl w:val="4"/>
    </w:pPr>
  </w:style>
  <w:style w:type="paragraph" w:styleId="Titre6">
    <w:name w:val="heading 6"/>
    <w:basedOn w:val="Normal"/>
    <w:next w:val="Normal"/>
    <w:qFormat/>
    <w:rsid w:val="006105DA"/>
    <w:pPr>
      <w:numPr>
        <w:ilvl w:val="5"/>
        <w:numId w:val="5"/>
      </w:numPr>
      <w:tabs>
        <w:tab w:val="clear" w:pos="1440"/>
        <w:tab w:val="num" w:pos="1134"/>
      </w:tabs>
      <w:spacing w:before="240" w:after="60"/>
      <w:outlineLvl w:val="5"/>
    </w:pPr>
    <w:rPr>
      <w:sz w:val="18"/>
    </w:rPr>
  </w:style>
  <w:style w:type="paragraph" w:styleId="Titre7">
    <w:name w:val="heading 7"/>
    <w:basedOn w:val="Normal"/>
    <w:next w:val="Normal"/>
    <w:qFormat/>
    <w:rsid w:val="006105DA"/>
    <w:pPr>
      <w:numPr>
        <w:ilvl w:val="6"/>
        <w:numId w:val="5"/>
      </w:numPr>
      <w:tabs>
        <w:tab w:val="clear" w:pos="1800"/>
        <w:tab w:val="num" w:pos="1276"/>
      </w:tabs>
      <w:spacing w:before="240" w:after="60"/>
      <w:outlineLvl w:val="6"/>
    </w:pPr>
    <w:rPr>
      <w:sz w:val="18"/>
    </w:rPr>
  </w:style>
  <w:style w:type="paragraph" w:styleId="Titre8">
    <w:name w:val="heading 8"/>
    <w:basedOn w:val="Normal"/>
    <w:next w:val="Normal"/>
    <w:qFormat/>
    <w:rsid w:val="006105DA"/>
    <w:pPr>
      <w:numPr>
        <w:ilvl w:val="7"/>
        <w:numId w:val="5"/>
      </w:numPr>
      <w:spacing w:before="240" w:after="60"/>
      <w:outlineLvl w:val="7"/>
    </w:pPr>
    <w:rPr>
      <w:i/>
      <w:sz w:val="20"/>
    </w:rPr>
  </w:style>
  <w:style w:type="paragraph" w:styleId="Titre9">
    <w:name w:val="heading 9"/>
    <w:basedOn w:val="Normal"/>
    <w:next w:val="Normal"/>
    <w:qFormat/>
    <w:rsid w:val="006105DA"/>
    <w:pPr>
      <w:numPr>
        <w:ilvl w:val="8"/>
        <w:numId w:val="5"/>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6105DA"/>
    <w:pPr>
      <w:tabs>
        <w:tab w:val="center" w:pos="4536"/>
        <w:tab w:val="right" w:pos="9072"/>
      </w:tabs>
    </w:pPr>
    <w:rPr>
      <w:sz w:val="20"/>
    </w:rPr>
  </w:style>
  <w:style w:type="paragraph" w:styleId="Pieddepage">
    <w:name w:val="footer"/>
    <w:basedOn w:val="Normal"/>
    <w:rsid w:val="006105DA"/>
    <w:pPr>
      <w:tabs>
        <w:tab w:val="right" w:pos="9639"/>
      </w:tabs>
      <w:spacing w:before="0" w:line="240" w:lineRule="auto"/>
    </w:pPr>
    <w:rPr>
      <w:snapToGrid w:val="0"/>
      <w:sz w:val="16"/>
    </w:rPr>
  </w:style>
  <w:style w:type="paragraph" w:styleId="Retraitcorpsdetexte">
    <w:name w:val="Body Text Indent"/>
    <w:basedOn w:val="Normal"/>
    <w:rsid w:val="006105DA"/>
    <w:pPr>
      <w:tabs>
        <w:tab w:val="left" w:pos="1418"/>
      </w:tabs>
      <w:ind w:firstLine="1"/>
    </w:pPr>
  </w:style>
  <w:style w:type="paragraph" w:styleId="Titre">
    <w:name w:val="Title"/>
    <w:basedOn w:val="Normal"/>
    <w:qFormat/>
    <w:rsid w:val="006105DA"/>
    <w:pPr>
      <w:spacing w:after="240"/>
      <w:jc w:val="center"/>
    </w:pPr>
    <w:rPr>
      <w:b/>
      <w:sz w:val="36"/>
    </w:rPr>
  </w:style>
  <w:style w:type="paragraph" w:customStyle="1" w:styleId="Titeltab">
    <w:name w:val="Titeltab"/>
    <w:basedOn w:val="Normal"/>
    <w:rsid w:val="006105DA"/>
    <w:pPr>
      <w:spacing w:before="0"/>
    </w:pPr>
    <w:rPr>
      <w:b/>
    </w:rPr>
  </w:style>
  <w:style w:type="paragraph" w:styleId="Listenumros">
    <w:name w:val="List Number"/>
    <w:basedOn w:val="Normal"/>
    <w:rsid w:val="006105DA"/>
    <w:pPr>
      <w:numPr>
        <w:numId w:val="3"/>
      </w:numPr>
    </w:pPr>
  </w:style>
  <w:style w:type="paragraph" w:styleId="Listepuces">
    <w:name w:val="List Bullet"/>
    <w:basedOn w:val="Normal"/>
    <w:autoRedefine/>
    <w:rsid w:val="006105DA"/>
    <w:pPr>
      <w:numPr>
        <w:numId w:val="10"/>
      </w:numPr>
      <w:tabs>
        <w:tab w:val="clear" w:pos="360"/>
        <w:tab w:val="num" w:pos="709"/>
      </w:tabs>
      <w:ind w:left="709" w:hanging="357"/>
    </w:pPr>
  </w:style>
  <w:style w:type="paragraph" w:styleId="Textebrut">
    <w:name w:val="Plain Text"/>
    <w:basedOn w:val="Normal"/>
    <w:rsid w:val="006105DA"/>
    <w:pPr>
      <w:keepLines/>
      <w:spacing w:after="120" w:line="240" w:lineRule="auto"/>
    </w:pPr>
  </w:style>
  <w:style w:type="paragraph" w:styleId="TM1">
    <w:name w:val="toc 1"/>
    <w:basedOn w:val="Normal"/>
    <w:next w:val="Normal"/>
    <w:autoRedefine/>
    <w:semiHidden/>
    <w:rsid w:val="006105DA"/>
    <w:pPr>
      <w:tabs>
        <w:tab w:val="left" w:pos="851"/>
        <w:tab w:val="right" w:leader="dot" w:pos="9639"/>
      </w:tabs>
      <w:ind w:left="851" w:right="284" w:hanging="851"/>
    </w:pPr>
    <w:rPr>
      <w:b/>
      <w:noProof/>
      <w:szCs w:val="38"/>
    </w:rPr>
  </w:style>
  <w:style w:type="paragraph" w:styleId="TM2">
    <w:name w:val="toc 2"/>
    <w:basedOn w:val="Normal"/>
    <w:next w:val="Normal"/>
    <w:autoRedefine/>
    <w:semiHidden/>
    <w:rsid w:val="006105DA"/>
    <w:pPr>
      <w:tabs>
        <w:tab w:val="left" w:pos="851"/>
        <w:tab w:val="right" w:leader="dot" w:pos="9639"/>
      </w:tabs>
      <w:spacing w:before="0"/>
      <w:ind w:left="851" w:right="284" w:hanging="851"/>
    </w:pPr>
    <w:rPr>
      <w:noProof/>
    </w:rPr>
  </w:style>
  <w:style w:type="paragraph" w:styleId="TM3">
    <w:name w:val="toc 3"/>
    <w:basedOn w:val="Normal"/>
    <w:next w:val="Normal"/>
    <w:autoRedefine/>
    <w:semiHidden/>
    <w:rsid w:val="006105DA"/>
    <w:pPr>
      <w:tabs>
        <w:tab w:val="left" w:pos="1468"/>
        <w:tab w:val="right" w:leader="dot" w:pos="9060"/>
      </w:tabs>
      <w:spacing w:before="0"/>
      <w:ind w:left="851"/>
    </w:pPr>
    <w:rPr>
      <w:noProof/>
    </w:rPr>
  </w:style>
  <w:style w:type="paragraph" w:styleId="TM4">
    <w:name w:val="toc 4"/>
    <w:basedOn w:val="Normal"/>
    <w:next w:val="Normal"/>
    <w:autoRedefine/>
    <w:semiHidden/>
    <w:rsid w:val="006105DA"/>
    <w:pPr>
      <w:tabs>
        <w:tab w:val="left" w:pos="2268"/>
        <w:tab w:val="right" w:leader="dot" w:pos="9060"/>
      </w:tabs>
      <w:spacing w:before="0"/>
      <w:ind w:left="1496"/>
    </w:pPr>
    <w:rPr>
      <w:noProof/>
    </w:rPr>
  </w:style>
  <w:style w:type="paragraph" w:styleId="TM5">
    <w:name w:val="toc 5"/>
    <w:basedOn w:val="Normal"/>
    <w:next w:val="Normal"/>
    <w:autoRedefine/>
    <w:semiHidden/>
    <w:rsid w:val="006105DA"/>
    <w:pPr>
      <w:ind w:left="880"/>
    </w:pPr>
  </w:style>
  <w:style w:type="paragraph" w:styleId="TM6">
    <w:name w:val="toc 6"/>
    <w:basedOn w:val="Normal"/>
    <w:next w:val="Normal"/>
    <w:autoRedefine/>
    <w:semiHidden/>
    <w:rsid w:val="006105DA"/>
    <w:pPr>
      <w:ind w:left="1100"/>
    </w:pPr>
  </w:style>
  <w:style w:type="paragraph" w:styleId="TM7">
    <w:name w:val="toc 7"/>
    <w:basedOn w:val="Normal"/>
    <w:next w:val="Normal"/>
    <w:autoRedefine/>
    <w:semiHidden/>
    <w:rsid w:val="006105DA"/>
    <w:pPr>
      <w:ind w:left="1320"/>
    </w:pPr>
  </w:style>
  <w:style w:type="paragraph" w:styleId="TM8">
    <w:name w:val="toc 8"/>
    <w:basedOn w:val="Normal"/>
    <w:next w:val="Normal"/>
    <w:autoRedefine/>
    <w:semiHidden/>
    <w:rsid w:val="006105DA"/>
    <w:pPr>
      <w:ind w:left="1540"/>
    </w:pPr>
  </w:style>
  <w:style w:type="paragraph" w:styleId="TM9">
    <w:name w:val="toc 9"/>
    <w:basedOn w:val="Normal"/>
    <w:next w:val="Normal"/>
    <w:autoRedefine/>
    <w:semiHidden/>
    <w:rsid w:val="006105DA"/>
    <w:pPr>
      <w:ind w:left="1760"/>
    </w:pPr>
  </w:style>
  <w:style w:type="paragraph" w:styleId="Lgende">
    <w:name w:val="caption"/>
    <w:basedOn w:val="Normal"/>
    <w:next w:val="Normal"/>
    <w:qFormat/>
    <w:rsid w:val="006105DA"/>
    <w:pPr>
      <w:spacing w:before="60" w:after="240"/>
    </w:pPr>
    <w:rPr>
      <w:sz w:val="18"/>
    </w:rPr>
  </w:style>
  <w:style w:type="paragraph" w:customStyle="1" w:styleId="TableHead">
    <w:name w:val="Table Head"/>
    <w:basedOn w:val="Normal"/>
    <w:rsid w:val="006105DA"/>
    <w:pPr>
      <w:spacing w:before="60" w:after="60"/>
    </w:pPr>
    <w:rPr>
      <w:b/>
      <w:color w:val="FFFFFF"/>
      <w:sz w:val="18"/>
    </w:rPr>
  </w:style>
  <w:style w:type="paragraph" w:customStyle="1" w:styleId="TableLine">
    <w:name w:val="Table Line"/>
    <w:basedOn w:val="Normal"/>
    <w:rsid w:val="006105DA"/>
    <w:pPr>
      <w:spacing w:before="60" w:after="60"/>
    </w:pPr>
    <w:rPr>
      <w:sz w:val="18"/>
    </w:rPr>
  </w:style>
  <w:style w:type="character" w:styleId="Lienhypertexte">
    <w:name w:val="Hyperlink"/>
    <w:basedOn w:val="Policepardfaut"/>
    <w:rsid w:val="006105DA"/>
    <w:rPr>
      <w:color w:val="0000FF"/>
      <w:u w:val="single"/>
    </w:rPr>
  </w:style>
  <w:style w:type="character" w:styleId="Lienhypertextesuivivisit">
    <w:name w:val="FollowedHyperlink"/>
    <w:basedOn w:val="Policepardfaut"/>
    <w:rsid w:val="006105DA"/>
    <w:rPr>
      <w:color w:val="800080"/>
      <w:u w:val="single"/>
    </w:rPr>
  </w:style>
  <w:style w:type="paragraph" w:styleId="Notedebasdepage">
    <w:name w:val="footnote text"/>
    <w:basedOn w:val="Normal"/>
    <w:semiHidden/>
    <w:rsid w:val="006105DA"/>
    <w:rPr>
      <w:sz w:val="20"/>
    </w:rPr>
  </w:style>
  <w:style w:type="character" w:styleId="Appelnotedebasdep">
    <w:name w:val="footnote reference"/>
    <w:basedOn w:val="Policepardfaut"/>
    <w:semiHidden/>
    <w:rsid w:val="006105DA"/>
    <w:rPr>
      <w:vertAlign w:val="superscript"/>
    </w:rPr>
  </w:style>
  <w:style w:type="character" w:styleId="Numrodepage">
    <w:name w:val="page number"/>
    <w:basedOn w:val="Policepardfaut"/>
    <w:rsid w:val="006105DA"/>
  </w:style>
  <w:style w:type="paragraph" w:styleId="Textedebulles">
    <w:name w:val="Balloon Text"/>
    <w:basedOn w:val="Normal"/>
    <w:semiHidden/>
    <w:rsid w:val="006105DA"/>
    <w:rPr>
      <w:rFonts w:ascii="Tahoma" w:hAnsi="Tahoma" w:cs="Tahoma"/>
      <w:sz w:val="16"/>
      <w:szCs w:val="16"/>
    </w:rPr>
  </w:style>
  <w:style w:type="character" w:styleId="Marquedecommentaire">
    <w:name w:val="annotation reference"/>
    <w:basedOn w:val="Policepardfaut"/>
    <w:semiHidden/>
    <w:rsid w:val="006105DA"/>
    <w:rPr>
      <w:sz w:val="16"/>
      <w:szCs w:val="16"/>
    </w:rPr>
  </w:style>
  <w:style w:type="paragraph" w:styleId="Commentaire">
    <w:name w:val="annotation text"/>
    <w:basedOn w:val="Normal"/>
    <w:semiHidden/>
    <w:rsid w:val="006105DA"/>
    <w:rPr>
      <w:sz w:val="20"/>
    </w:rPr>
  </w:style>
  <w:style w:type="paragraph" w:styleId="Objetducommentaire">
    <w:name w:val="annotation subject"/>
    <w:basedOn w:val="Commentaire"/>
    <w:next w:val="Commentaire"/>
    <w:semiHidden/>
    <w:rsid w:val="006105DA"/>
    <w:rPr>
      <w:b/>
      <w:bCs/>
    </w:rPr>
  </w:style>
  <w:style w:type="paragraph" w:customStyle="1" w:styleId="Default">
    <w:name w:val="Default"/>
    <w:rsid w:val="006105DA"/>
    <w:pPr>
      <w:autoSpaceDE w:val="0"/>
      <w:autoSpaceDN w:val="0"/>
      <w:adjustRightInd w:val="0"/>
    </w:pPr>
    <w:rPr>
      <w:rFonts w:ascii="Arial" w:hAnsi="Arial" w:cs="Arial"/>
      <w:color w:val="000000"/>
      <w:sz w:val="24"/>
      <w:szCs w:val="24"/>
      <w:lang w:val="de-DE" w:eastAsia="de-DE"/>
    </w:rPr>
  </w:style>
  <w:style w:type="paragraph" w:styleId="Explorateurdedocuments">
    <w:name w:val="Document Map"/>
    <w:basedOn w:val="Normal"/>
    <w:semiHidden/>
    <w:rsid w:val="006105DA"/>
    <w:pPr>
      <w:shd w:val="clear" w:color="auto" w:fill="000080"/>
    </w:pPr>
    <w:rPr>
      <w:rFonts w:ascii="Tahoma" w:hAnsi="Tahoma" w:cs="Tahoma"/>
      <w:sz w:val="20"/>
    </w:rPr>
  </w:style>
  <w:style w:type="paragraph" w:styleId="Paragraphedeliste">
    <w:name w:val="List Paragraph"/>
    <w:basedOn w:val="Normal"/>
    <w:uiPriority w:val="34"/>
    <w:qFormat/>
    <w:rsid w:val="004C676C"/>
    <w:pPr>
      <w:ind w:left="720"/>
      <w:contextualSpacing/>
    </w:pPr>
  </w:style>
</w:styles>
</file>

<file path=word/webSettings.xml><?xml version="1.0" encoding="utf-8"?>
<w:webSettings xmlns:r="http://schemas.openxmlformats.org/officeDocument/2006/relationships" xmlns:w="http://schemas.openxmlformats.org/wordprocessingml/2006/main">
  <w:divs>
    <w:div w:id="1276790749">
      <w:bodyDiv w:val="1"/>
      <w:marLeft w:val="0"/>
      <w:marRight w:val="0"/>
      <w:marTop w:val="0"/>
      <w:marBottom w:val="0"/>
      <w:divBdr>
        <w:top w:val="none" w:sz="0" w:space="0" w:color="auto"/>
        <w:left w:val="none" w:sz="0" w:space="0" w:color="auto"/>
        <w:bottom w:val="none" w:sz="0" w:space="0" w:color="auto"/>
        <w:right w:val="none" w:sz="0" w:space="0" w:color="auto"/>
      </w:divBdr>
      <w:divsChild>
        <w:div w:id="585383055">
          <w:marLeft w:val="0"/>
          <w:marRight w:val="0"/>
          <w:marTop w:val="0"/>
          <w:marBottom w:val="0"/>
          <w:divBdr>
            <w:top w:val="none" w:sz="0" w:space="0" w:color="auto"/>
            <w:left w:val="none" w:sz="0" w:space="0" w:color="auto"/>
            <w:bottom w:val="none" w:sz="0" w:space="0" w:color="auto"/>
            <w:right w:val="none" w:sz="0" w:space="0" w:color="auto"/>
          </w:divBdr>
          <w:divsChild>
            <w:div w:id="942881744">
              <w:marLeft w:val="0"/>
              <w:marRight w:val="0"/>
              <w:marTop w:val="0"/>
              <w:marBottom w:val="0"/>
              <w:divBdr>
                <w:top w:val="none" w:sz="0" w:space="0" w:color="auto"/>
                <w:left w:val="none" w:sz="0" w:space="0" w:color="auto"/>
                <w:bottom w:val="none" w:sz="0" w:space="0" w:color="auto"/>
                <w:right w:val="none" w:sz="0" w:space="0" w:color="auto"/>
              </w:divBdr>
              <w:divsChild>
                <w:div w:id="212470676">
                  <w:marLeft w:val="0"/>
                  <w:marRight w:val="0"/>
                  <w:marTop w:val="0"/>
                  <w:marBottom w:val="0"/>
                  <w:divBdr>
                    <w:top w:val="none" w:sz="0" w:space="0" w:color="auto"/>
                    <w:left w:val="none" w:sz="0" w:space="0" w:color="auto"/>
                    <w:bottom w:val="none" w:sz="0" w:space="0" w:color="auto"/>
                    <w:right w:val="none" w:sz="0" w:space="0" w:color="auto"/>
                  </w:divBdr>
                  <w:divsChild>
                    <w:div w:id="234164289">
                      <w:marLeft w:val="0"/>
                      <w:marRight w:val="0"/>
                      <w:marTop w:val="0"/>
                      <w:marBottom w:val="0"/>
                      <w:divBdr>
                        <w:top w:val="none" w:sz="0" w:space="0" w:color="auto"/>
                        <w:left w:val="none" w:sz="0" w:space="0" w:color="auto"/>
                        <w:bottom w:val="none" w:sz="0" w:space="0" w:color="auto"/>
                        <w:right w:val="none" w:sz="0" w:space="0" w:color="auto"/>
                      </w:divBdr>
                      <w:divsChild>
                        <w:div w:id="1291404009">
                          <w:marLeft w:val="0"/>
                          <w:marRight w:val="0"/>
                          <w:marTop w:val="0"/>
                          <w:marBottom w:val="0"/>
                          <w:divBdr>
                            <w:top w:val="none" w:sz="0" w:space="0" w:color="auto"/>
                            <w:left w:val="none" w:sz="0" w:space="0" w:color="auto"/>
                            <w:bottom w:val="none" w:sz="0" w:space="0" w:color="auto"/>
                            <w:right w:val="none" w:sz="0" w:space="0" w:color="auto"/>
                          </w:divBdr>
                          <w:divsChild>
                            <w:div w:id="639386290">
                              <w:marLeft w:val="0"/>
                              <w:marRight w:val="0"/>
                              <w:marTop w:val="0"/>
                              <w:marBottom w:val="0"/>
                              <w:divBdr>
                                <w:top w:val="none" w:sz="0" w:space="0" w:color="auto"/>
                                <w:left w:val="none" w:sz="0" w:space="0" w:color="auto"/>
                                <w:bottom w:val="none" w:sz="0" w:space="0" w:color="auto"/>
                                <w:right w:val="none" w:sz="0" w:space="0" w:color="auto"/>
                              </w:divBdr>
                              <w:divsChild>
                                <w:div w:id="2016296765">
                                  <w:marLeft w:val="0"/>
                                  <w:marRight w:val="0"/>
                                  <w:marTop w:val="0"/>
                                  <w:marBottom w:val="0"/>
                                  <w:divBdr>
                                    <w:top w:val="none" w:sz="0" w:space="0" w:color="auto"/>
                                    <w:left w:val="none" w:sz="0" w:space="0" w:color="auto"/>
                                    <w:bottom w:val="none" w:sz="0" w:space="0" w:color="auto"/>
                                    <w:right w:val="none" w:sz="0" w:space="0" w:color="auto"/>
                                  </w:divBdr>
                                  <w:divsChild>
                                    <w:div w:id="1864855716">
                                      <w:marLeft w:val="0"/>
                                      <w:marRight w:val="0"/>
                                      <w:marTop w:val="0"/>
                                      <w:marBottom w:val="0"/>
                                      <w:divBdr>
                                        <w:top w:val="none" w:sz="0" w:space="0" w:color="auto"/>
                                        <w:left w:val="none" w:sz="0" w:space="0" w:color="auto"/>
                                        <w:bottom w:val="none" w:sz="0" w:space="0" w:color="auto"/>
                                        <w:right w:val="none" w:sz="0" w:space="0" w:color="auto"/>
                                      </w:divBdr>
                                      <w:divsChild>
                                        <w:div w:id="912350190">
                                          <w:marLeft w:val="0"/>
                                          <w:marRight w:val="0"/>
                                          <w:marTop w:val="0"/>
                                          <w:marBottom w:val="0"/>
                                          <w:divBdr>
                                            <w:top w:val="none" w:sz="0" w:space="0" w:color="auto"/>
                                            <w:left w:val="none" w:sz="0" w:space="0" w:color="auto"/>
                                            <w:bottom w:val="none" w:sz="0" w:space="0" w:color="auto"/>
                                            <w:right w:val="none" w:sz="0" w:space="0" w:color="auto"/>
                                          </w:divBdr>
                                          <w:divsChild>
                                            <w:div w:id="411582994">
                                              <w:marLeft w:val="0"/>
                                              <w:marRight w:val="0"/>
                                              <w:marTop w:val="0"/>
                                              <w:marBottom w:val="0"/>
                                              <w:divBdr>
                                                <w:top w:val="none" w:sz="0" w:space="0" w:color="auto"/>
                                                <w:left w:val="none" w:sz="0" w:space="0" w:color="auto"/>
                                                <w:bottom w:val="none" w:sz="0" w:space="0" w:color="auto"/>
                                                <w:right w:val="none" w:sz="0" w:space="0" w:color="auto"/>
                                              </w:divBdr>
                                            </w:div>
                                            <w:div w:id="142522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3000112">
      <w:bodyDiv w:val="1"/>
      <w:marLeft w:val="0"/>
      <w:marRight w:val="0"/>
      <w:marTop w:val="0"/>
      <w:marBottom w:val="0"/>
      <w:divBdr>
        <w:top w:val="none" w:sz="0" w:space="0" w:color="auto"/>
        <w:left w:val="none" w:sz="0" w:space="0" w:color="auto"/>
        <w:bottom w:val="none" w:sz="0" w:space="0" w:color="auto"/>
        <w:right w:val="none" w:sz="0" w:space="0" w:color="auto"/>
      </w:divBdr>
      <w:divsChild>
        <w:div w:id="542713585">
          <w:marLeft w:val="0"/>
          <w:marRight w:val="0"/>
          <w:marTop w:val="0"/>
          <w:marBottom w:val="0"/>
          <w:divBdr>
            <w:top w:val="none" w:sz="0" w:space="0" w:color="auto"/>
            <w:left w:val="none" w:sz="0" w:space="0" w:color="auto"/>
            <w:bottom w:val="none" w:sz="0" w:space="0" w:color="auto"/>
            <w:right w:val="none" w:sz="0" w:space="0" w:color="auto"/>
          </w:divBdr>
          <w:divsChild>
            <w:div w:id="1605846699">
              <w:marLeft w:val="0"/>
              <w:marRight w:val="0"/>
              <w:marTop w:val="0"/>
              <w:marBottom w:val="0"/>
              <w:divBdr>
                <w:top w:val="none" w:sz="0" w:space="0" w:color="auto"/>
                <w:left w:val="none" w:sz="0" w:space="0" w:color="auto"/>
                <w:bottom w:val="none" w:sz="0" w:space="0" w:color="auto"/>
                <w:right w:val="none" w:sz="0" w:space="0" w:color="auto"/>
              </w:divBdr>
              <w:divsChild>
                <w:div w:id="443429841">
                  <w:marLeft w:val="0"/>
                  <w:marRight w:val="0"/>
                  <w:marTop w:val="0"/>
                  <w:marBottom w:val="0"/>
                  <w:divBdr>
                    <w:top w:val="none" w:sz="0" w:space="0" w:color="auto"/>
                    <w:left w:val="none" w:sz="0" w:space="0" w:color="auto"/>
                    <w:bottom w:val="none" w:sz="0" w:space="0" w:color="auto"/>
                    <w:right w:val="none" w:sz="0" w:space="0" w:color="auto"/>
                  </w:divBdr>
                  <w:divsChild>
                    <w:div w:id="2055957212">
                      <w:marLeft w:val="0"/>
                      <w:marRight w:val="0"/>
                      <w:marTop w:val="0"/>
                      <w:marBottom w:val="0"/>
                      <w:divBdr>
                        <w:top w:val="none" w:sz="0" w:space="0" w:color="auto"/>
                        <w:left w:val="none" w:sz="0" w:space="0" w:color="auto"/>
                        <w:bottom w:val="none" w:sz="0" w:space="0" w:color="auto"/>
                        <w:right w:val="none" w:sz="0" w:space="0" w:color="auto"/>
                      </w:divBdr>
                      <w:divsChild>
                        <w:div w:id="1534730319">
                          <w:marLeft w:val="0"/>
                          <w:marRight w:val="0"/>
                          <w:marTop w:val="0"/>
                          <w:marBottom w:val="0"/>
                          <w:divBdr>
                            <w:top w:val="none" w:sz="0" w:space="0" w:color="auto"/>
                            <w:left w:val="none" w:sz="0" w:space="0" w:color="auto"/>
                            <w:bottom w:val="none" w:sz="0" w:space="0" w:color="auto"/>
                            <w:right w:val="none" w:sz="0" w:space="0" w:color="auto"/>
                          </w:divBdr>
                          <w:divsChild>
                            <w:div w:id="1668094063">
                              <w:marLeft w:val="0"/>
                              <w:marRight w:val="0"/>
                              <w:marTop w:val="0"/>
                              <w:marBottom w:val="0"/>
                              <w:divBdr>
                                <w:top w:val="none" w:sz="0" w:space="0" w:color="auto"/>
                                <w:left w:val="none" w:sz="0" w:space="0" w:color="auto"/>
                                <w:bottom w:val="none" w:sz="0" w:space="0" w:color="auto"/>
                                <w:right w:val="none" w:sz="0" w:space="0" w:color="auto"/>
                              </w:divBdr>
                              <w:divsChild>
                                <w:div w:id="2050566109">
                                  <w:marLeft w:val="0"/>
                                  <w:marRight w:val="0"/>
                                  <w:marTop w:val="0"/>
                                  <w:marBottom w:val="0"/>
                                  <w:divBdr>
                                    <w:top w:val="none" w:sz="0" w:space="0" w:color="auto"/>
                                    <w:left w:val="none" w:sz="0" w:space="0" w:color="auto"/>
                                    <w:bottom w:val="none" w:sz="0" w:space="0" w:color="auto"/>
                                    <w:right w:val="none" w:sz="0" w:space="0" w:color="auto"/>
                                  </w:divBdr>
                                  <w:divsChild>
                                    <w:div w:id="506402844">
                                      <w:marLeft w:val="0"/>
                                      <w:marRight w:val="0"/>
                                      <w:marTop w:val="0"/>
                                      <w:marBottom w:val="0"/>
                                      <w:divBdr>
                                        <w:top w:val="none" w:sz="0" w:space="0" w:color="auto"/>
                                        <w:left w:val="none" w:sz="0" w:space="0" w:color="auto"/>
                                        <w:bottom w:val="none" w:sz="0" w:space="0" w:color="auto"/>
                                        <w:right w:val="none" w:sz="0" w:space="0" w:color="auto"/>
                                      </w:divBdr>
                                      <w:divsChild>
                                        <w:div w:id="971518506">
                                          <w:marLeft w:val="0"/>
                                          <w:marRight w:val="0"/>
                                          <w:marTop w:val="0"/>
                                          <w:marBottom w:val="0"/>
                                          <w:divBdr>
                                            <w:top w:val="none" w:sz="0" w:space="0" w:color="auto"/>
                                            <w:left w:val="none" w:sz="0" w:space="0" w:color="auto"/>
                                            <w:bottom w:val="none" w:sz="0" w:space="0" w:color="auto"/>
                                            <w:right w:val="none" w:sz="0" w:space="0" w:color="auto"/>
                                          </w:divBdr>
                                          <w:divsChild>
                                            <w:div w:id="211580165">
                                              <w:marLeft w:val="0"/>
                                              <w:marRight w:val="0"/>
                                              <w:marTop w:val="0"/>
                                              <w:marBottom w:val="0"/>
                                              <w:divBdr>
                                                <w:top w:val="none" w:sz="0" w:space="0" w:color="auto"/>
                                                <w:left w:val="none" w:sz="0" w:space="0" w:color="auto"/>
                                                <w:bottom w:val="none" w:sz="0" w:space="0" w:color="auto"/>
                                                <w:right w:val="none" w:sz="0" w:space="0" w:color="auto"/>
                                              </w:divBdr>
                                            </w:div>
                                            <w:div w:id="164385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908</Words>
  <Characters>4996</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&lt;Title&gt;</vt:lpstr>
    </vt:vector>
  </TitlesOfParts>
  <Company>European Energy Exchange AG</Company>
  <LinksUpToDate>false</LinksUpToDate>
  <CharactersWithSpaces>5893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&lt;Title&gt;</dc:title>
  <dc:subject>0001A</dc:subject>
  <dc:creator>Sovann KHOU</dc:creator>
  <cp:keywords/>
  <dc:description/>
  <cp:lastModifiedBy>katz</cp:lastModifiedBy>
  <cp:revision>2</cp:revision>
  <cp:lastPrinted>2009-01-06T06:18:00Z</cp:lastPrinted>
  <dcterms:created xsi:type="dcterms:W3CDTF">2009-07-07T11:25:00Z</dcterms:created>
  <dcterms:modified xsi:type="dcterms:W3CDTF">2009-07-07T11:25:00Z</dcterms:modified>
  <cp:category/>
</cp:coreProperties>
</file>