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2748" w:rsidRPr="00BB2748" w:rsidRDefault="00BB2748" w:rsidP="00BB2748">
      <w:pPr>
        <w:autoSpaceDE w:val="0"/>
        <w:autoSpaceDN w:val="0"/>
        <w:adjustRightInd w:val="0"/>
        <w:spacing w:after="0" w:line="240" w:lineRule="auto"/>
        <w:rPr>
          <w:rFonts w:ascii="Arial" w:hAnsi="Arial" w:cs="Arial"/>
          <w:b/>
          <w:sz w:val="24"/>
          <w:szCs w:val="24"/>
        </w:rPr>
      </w:pPr>
      <w:proofErr w:type="spellStart"/>
      <w:r w:rsidRPr="00BB2748">
        <w:rPr>
          <w:rFonts w:ascii="Arial" w:hAnsi="Arial" w:cs="Arial"/>
          <w:b/>
          <w:sz w:val="24"/>
          <w:szCs w:val="24"/>
        </w:rPr>
        <w:t>Obligaciones</w:t>
      </w:r>
      <w:proofErr w:type="spellEnd"/>
      <w:r w:rsidRPr="00BB2748">
        <w:rPr>
          <w:rFonts w:ascii="Arial" w:hAnsi="Arial" w:cs="Arial"/>
          <w:b/>
          <w:sz w:val="24"/>
          <w:szCs w:val="24"/>
        </w:rPr>
        <w:t xml:space="preserve"> </w:t>
      </w:r>
      <w:proofErr w:type="spellStart"/>
      <w:r w:rsidRPr="00BB2748">
        <w:rPr>
          <w:rFonts w:ascii="Arial" w:hAnsi="Arial" w:cs="Arial"/>
          <w:b/>
          <w:sz w:val="24"/>
          <w:szCs w:val="24"/>
        </w:rPr>
        <w:t>del</w:t>
      </w:r>
      <w:proofErr w:type="spellEnd"/>
      <w:r w:rsidRPr="00BB2748">
        <w:rPr>
          <w:rFonts w:ascii="Arial" w:hAnsi="Arial" w:cs="Arial"/>
          <w:b/>
          <w:sz w:val="24"/>
          <w:szCs w:val="24"/>
        </w:rPr>
        <w:t xml:space="preserve"> </w:t>
      </w:r>
      <w:proofErr w:type="spellStart"/>
      <w:r w:rsidRPr="00BB2748">
        <w:rPr>
          <w:rFonts w:ascii="Arial" w:hAnsi="Arial" w:cs="Arial"/>
          <w:b/>
          <w:sz w:val="24"/>
          <w:szCs w:val="24"/>
        </w:rPr>
        <w:t>Concesionario</w:t>
      </w:r>
      <w:proofErr w:type="spellEnd"/>
    </w:p>
    <w:p w:rsidR="00BB2748" w:rsidRDefault="00BB2748" w:rsidP="00BB2748">
      <w:pPr>
        <w:autoSpaceDE w:val="0"/>
        <w:autoSpaceDN w:val="0"/>
        <w:adjustRightInd w:val="0"/>
        <w:spacing w:after="0" w:line="240" w:lineRule="auto"/>
        <w:rPr>
          <w:rFonts w:ascii="Arial" w:hAnsi="Arial" w:cs="Arial"/>
          <w:sz w:val="24"/>
          <w:szCs w:val="24"/>
        </w:rPr>
      </w:pPr>
    </w:p>
    <w:p w:rsidR="00143A9E" w:rsidRDefault="00BB2748" w:rsidP="00BB2748">
      <w:pPr>
        <w:autoSpaceDE w:val="0"/>
        <w:autoSpaceDN w:val="0"/>
        <w:adjustRightInd w:val="0"/>
        <w:spacing w:after="0" w:line="240" w:lineRule="auto"/>
        <w:rPr>
          <w:rFonts w:ascii="Arial" w:hAnsi="Arial" w:cs="Arial"/>
          <w:sz w:val="24"/>
          <w:szCs w:val="24"/>
        </w:rPr>
      </w:pPr>
      <w:r>
        <w:rPr>
          <w:rFonts w:ascii="Arial" w:hAnsi="Arial" w:cs="Arial"/>
          <w:sz w:val="24"/>
          <w:szCs w:val="24"/>
        </w:rPr>
        <w:t>La convention stipule que le concessionnaire construit et exploite les installations à ses risques et périls. Il s'engage notamment sur un programme initial de travaux et soumet chaque année à l'approbation du syndicat un programme de travaux avec plan de financement. Les travaux de renouvellement et d'entretien sont à la charge du concessionnaire, qui supporte également tous les réparations et remplacements exigés par l'usure normale ou accidentelle. La concession encadre les relations directes entre le concessionnaire et les abonnés et prévoit notamment le versement d'une dotation de fonctionnement au concédant (360 491 euros en 2001).</w:t>
      </w:r>
    </w:p>
    <w:p w:rsidR="00E31263" w:rsidRDefault="00E31263" w:rsidP="00BB2748">
      <w:pPr>
        <w:autoSpaceDE w:val="0"/>
        <w:autoSpaceDN w:val="0"/>
        <w:adjustRightInd w:val="0"/>
        <w:spacing w:after="0" w:line="240" w:lineRule="auto"/>
        <w:rPr>
          <w:rFonts w:ascii="Arial" w:hAnsi="Arial" w:cs="Arial"/>
          <w:sz w:val="24"/>
          <w:szCs w:val="24"/>
        </w:rPr>
      </w:pPr>
    </w:p>
    <w:p w:rsidR="00E31263" w:rsidRPr="00E31263" w:rsidRDefault="00E31263" w:rsidP="00BB2748">
      <w:pPr>
        <w:autoSpaceDE w:val="0"/>
        <w:autoSpaceDN w:val="0"/>
        <w:adjustRightInd w:val="0"/>
        <w:spacing w:after="0" w:line="240" w:lineRule="auto"/>
        <w:rPr>
          <w:rFonts w:ascii="Arial" w:hAnsi="Arial" w:cs="Arial"/>
          <w:b/>
          <w:sz w:val="24"/>
          <w:szCs w:val="24"/>
        </w:rPr>
      </w:pPr>
    </w:p>
    <w:p w:rsidR="00E31263" w:rsidRPr="00E31263" w:rsidRDefault="00E31263" w:rsidP="00E31263">
      <w:pPr>
        <w:autoSpaceDE w:val="0"/>
        <w:autoSpaceDN w:val="0"/>
        <w:adjustRightInd w:val="0"/>
        <w:spacing w:after="0" w:line="240" w:lineRule="auto"/>
        <w:rPr>
          <w:rFonts w:ascii="Arial" w:hAnsi="Arial" w:cs="Arial"/>
          <w:b/>
          <w:sz w:val="24"/>
          <w:szCs w:val="24"/>
        </w:rPr>
      </w:pPr>
      <w:r w:rsidRPr="00E31263">
        <w:rPr>
          <w:rFonts w:ascii="Arial" w:hAnsi="Arial" w:cs="Arial"/>
          <w:b/>
          <w:sz w:val="24"/>
          <w:szCs w:val="24"/>
        </w:rPr>
        <w:t xml:space="preserve">Litige avec </w:t>
      </w:r>
      <w:proofErr w:type="spellStart"/>
      <w:r w:rsidRPr="00E31263">
        <w:rPr>
          <w:rFonts w:ascii="Arial" w:hAnsi="Arial" w:cs="Arial"/>
          <w:b/>
          <w:sz w:val="24"/>
          <w:szCs w:val="24"/>
        </w:rPr>
        <w:t>Climadef</w:t>
      </w:r>
      <w:proofErr w:type="spellEnd"/>
    </w:p>
    <w:p w:rsidR="00E31263" w:rsidRDefault="00E31263" w:rsidP="00E31263">
      <w:pPr>
        <w:autoSpaceDE w:val="0"/>
        <w:autoSpaceDN w:val="0"/>
        <w:adjustRightInd w:val="0"/>
        <w:spacing w:after="0" w:line="240" w:lineRule="auto"/>
        <w:rPr>
          <w:rFonts w:ascii="Arial" w:hAnsi="Arial" w:cs="Arial"/>
          <w:sz w:val="24"/>
          <w:szCs w:val="24"/>
        </w:rPr>
      </w:pPr>
    </w:p>
    <w:p w:rsidR="00E31263" w:rsidRDefault="00E31263" w:rsidP="00E31263">
      <w:pPr>
        <w:autoSpaceDE w:val="0"/>
        <w:autoSpaceDN w:val="0"/>
        <w:adjustRightInd w:val="0"/>
        <w:spacing w:after="0" w:line="240" w:lineRule="auto"/>
        <w:rPr>
          <w:rFonts w:ascii="Arial" w:hAnsi="Arial" w:cs="Arial"/>
          <w:sz w:val="24"/>
          <w:szCs w:val="24"/>
        </w:rPr>
      </w:pPr>
      <w:r>
        <w:rPr>
          <w:rFonts w:ascii="Arial" w:hAnsi="Arial" w:cs="Arial"/>
          <w:sz w:val="24"/>
          <w:szCs w:val="24"/>
        </w:rPr>
        <w:t>L'avenant de 1996 prévoyait que "la prorogation de la concession ne peut intervenir qu'après la levée par le SICUDEF des conditions suspensives définies aux articles 14 à 19 de la convention". Ces clauses suspensives n'ayant pas été levées, le SICUDEF a renoncé, par délibération du 30 juin1998, à appliquer la convention de 1995 et donc à prolonger la concession au-delà du terme normal du traité de 1968 modifié, soit le 31 août 2002.</w:t>
      </w:r>
    </w:p>
    <w:p w:rsidR="00E31263" w:rsidRDefault="00E31263" w:rsidP="00E31263">
      <w:pPr>
        <w:autoSpaceDE w:val="0"/>
        <w:autoSpaceDN w:val="0"/>
        <w:adjustRightInd w:val="0"/>
        <w:spacing w:after="0" w:line="240" w:lineRule="auto"/>
        <w:rPr>
          <w:rFonts w:ascii="Arial" w:hAnsi="Arial" w:cs="Arial"/>
          <w:sz w:val="24"/>
          <w:szCs w:val="24"/>
        </w:rPr>
      </w:pPr>
      <w:r>
        <w:rPr>
          <w:rFonts w:ascii="Arial" w:hAnsi="Arial" w:cs="Arial"/>
          <w:sz w:val="24"/>
          <w:szCs w:val="24"/>
        </w:rPr>
        <w:t>Cette décision du SICUDEF a généré un contentieux avec la société CLIMADEF qui a saisi le Tribunal Administratif pour rupture anticipée de contrat. Le concessionnaire demande à être indemnisé à hauteur de 14,92 M euros d'une part, des études (2,904 M euros) et travaux (1,615 M euros) engagés en application de la convention de 1995 et devenus inutiles et d'autre part, du manque à gagner du fait de l'abandon de la convention (10,4 M euros évalués contradictoirement par un expert désigné par le TA en 1999 et CLIMADEF).</w:t>
      </w:r>
    </w:p>
    <w:p w:rsidR="00E31263" w:rsidRDefault="00E31263" w:rsidP="00E31263">
      <w:pPr>
        <w:autoSpaceDE w:val="0"/>
        <w:autoSpaceDN w:val="0"/>
        <w:adjustRightInd w:val="0"/>
        <w:spacing w:after="0" w:line="240" w:lineRule="auto"/>
        <w:rPr>
          <w:rFonts w:ascii="Arial" w:hAnsi="Arial" w:cs="Arial"/>
          <w:sz w:val="24"/>
          <w:szCs w:val="24"/>
        </w:rPr>
      </w:pPr>
      <w:r>
        <w:rPr>
          <w:rFonts w:ascii="Arial" w:hAnsi="Arial" w:cs="Arial"/>
          <w:sz w:val="24"/>
          <w:szCs w:val="24"/>
        </w:rPr>
        <w:t>L'expert, saisi par le tribunal administratif par une ordonnance de référé du 17 mai 1999, a rendu ses conclusions le 11 février 2003, celles-ci étant mises à jour le 30 novembre de la même année.</w:t>
      </w:r>
    </w:p>
    <w:p w:rsidR="00E31263" w:rsidRDefault="00E31263" w:rsidP="00E31263">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Concernant la production de chaleur, l'expert constate que la puissance installée était de 276 MW avant l'accident de 1994. Après l'accident et la construction d'une centrale provisoire, elle n'est plus que de 192 MW avec 4 chaudières de 45 MW. Il a même conclu qu'en cas de panne d'une des 4 chaudières, la puissance disponible serait insuffisante pour assurer les besoins de la concession. Par </w:t>
      </w:r>
      <w:proofErr w:type="spellStart"/>
      <w:r>
        <w:rPr>
          <w:rFonts w:ascii="Arial" w:hAnsi="Arial" w:cs="Arial"/>
          <w:sz w:val="24"/>
          <w:szCs w:val="24"/>
        </w:rPr>
        <w:t>ailleurs</w:t>
      </w:r>
      <w:proofErr w:type="gramStart"/>
      <w:r>
        <w:rPr>
          <w:rFonts w:ascii="Arial" w:hAnsi="Arial" w:cs="Arial"/>
          <w:sz w:val="24"/>
          <w:szCs w:val="24"/>
        </w:rPr>
        <w:t>,l'</w:t>
      </w:r>
      <w:proofErr w:type="spellEnd"/>
      <w:r>
        <w:rPr>
          <w:rFonts w:ascii="Arial" w:hAnsi="Arial" w:cs="Arial"/>
          <w:sz w:val="24"/>
          <w:szCs w:val="24"/>
        </w:rPr>
        <w:t>installation</w:t>
      </w:r>
      <w:proofErr w:type="gramEnd"/>
      <w:r>
        <w:rPr>
          <w:rFonts w:ascii="Arial" w:hAnsi="Arial" w:cs="Arial"/>
          <w:sz w:val="24"/>
          <w:szCs w:val="24"/>
        </w:rPr>
        <w:t xml:space="preserve"> de deux chaudières supplémentaires de 45 MW, pour atteindre les 276 MW coûterait 4,5 M euros.</w:t>
      </w:r>
    </w:p>
    <w:p w:rsidR="00E31263" w:rsidRDefault="00E31263" w:rsidP="00E31263">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Concernant la production d'électricité, les équipements de cogénération ont été entièrement détruits par l'explosion de 1994. Leur reconstruction coûterait 22,9 M euros mais permettrait de limiter à une chaudière supplémentaire de 45 MW le besoin pour atteindre les 279 MW de chaud. Le coût total de la mise en conformité aux installations initiales </w:t>
      </w:r>
      <w:proofErr w:type="gramStart"/>
      <w:r>
        <w:rPr>
          <w:rFonts w:ascii="Arial" w:hAnsi="Arial" w:cs="Arial"/>
          <w:sz w:val="24"/>
          <w:szCs w:val="24"/>
        </w:rPr>
        <w:t>seraient</w:t>
      </w:r>
      <w:proofErr w:type="gramEnd"/>
      <w:r>
        <w:rPr>
          <w:rFonts w:ascii="Arial" w:hAnsi="Arial" w:cs="Arial"/>
          <w:sz w:val="24"/>
          <w:szCs w:val="24"/>
        </w:rPr>
        <w:t xml:space="preserve"> alors de 22,9 M euros (coût de la cogénération) + 2,3 M euros (coût d'une chaudière de 45 MW), soit un total de 25,2 M euros</w:t>
      </w:r>
    </w:p>
    <w:p w:rsidR="00E31263" w:rsidRDefault="00E31263" w:rsidP="00E31263">
      <w:pPr>
        <w:autoSpaceDE w:val="0"/>
        <w:autoSpaceDN w:val="0"/>
        <w:adjustRightInd w:val="0"/>
        <w:spacing w:after="0" w:line="240" w:lineRule="auto"/>
        <w:rPr>
          <w:rFonts w:ascii="Arial" w:hAnsi="Arial" w:cs="Arial"/>
          <w:sz w:val="24"/>
          <w:szCs w:val="24"/>
        </w:rPr>
      </w:pPr>
      <w:r>
        <w:rPr>
          <w:rFonts w:ascii="Arial" w:hAnsi="Arial" w:cs="Arial"/>
          <w:sz w:val="24"/>
          <w:szCs w:val="24"/>
        </w:rPr>
        <w:t>Le tribunal administratif ne s'est prononcé à la même période ni sur le fond du litige, ni sur le principe d'une indemnisation au titre de la cogénération que CLIMADEF estime exclue de la concession, ni sur les autres montants d'indemnisation.</w:t>
      </w:r>
    </w:p>
    <w:p w:rsidR="00E31263" w:rsidRDefault="00E31263" w:rsidP="00E31263">
      <w:pPr>
        <w:autoSpaceDE w:val="0"/>
        <w:autoSpaceDN w:val="0"/>
        <w:adjustRightInd w:val="0"/>
        <w:spacing w:after="0" w:line="240" w:lineRule="auto"/>
        <w:rPr>
          <w:rFonts w:ascii="Arial" w:hAnsi="Arial" w:cs="Arial"/>
          <w:sz w:val="24"/>
          <w:szCs w:val="24"/>
        </w:rPr>
      </w:pPr>
    </w:p>
    <w:p w:rsidR="00E31263" w:rsidRDefault="00E31263" w:rsidP="00E31263">
      <w:pPr>
        <w:autoSpaceDE w:val="0"/>
        <w:autoSpaceDN w:val="0"/>
        <w:adjustRightInd w:val="0"/>
        <w:spacing w:after="0" w:line="240" w:lineRule="auto"/>
        <w:rPr>
          <w:rFonts w:ascii="Arial" w:hAnsi="Arial" w:cs="Arial"/>
          <w:b/>
          <w:sz w:val="24"/>
          <w:szCs w:val="24"/>
        </w:rPr>
      </w:pPr>
      <w:proofErr w:type="spellStart"/>
      <w:r w:rsidRPr="00CE565B">
        <w:rPr>
          <w:rFonts w:ascii="Arial" w:hAnsi="Arial" w:cs="Arial"/>
          <w:b/>
          <w:sz w:val="24"/>
          <w:szCs w:val="24"/>
        </w:rPr>
        <w:t>Accionariado</w:t>
      </w:r>
      <w:proofErr w:type="spellEnd"/>
      <w:r w:rsidRPr="00CE565B">
        <w:rPr>
          <w:rFonts w:ascii="Arial" w:hAnsi="Arial" w:cs="Arial"/>
          <w:b/>
          <w:sz w:val="24"/>
          <w:szCs w:val="24"/>
        </w:rPr>
        <w:t xml:space="preserve"> </w:t>
      </w:r>
      <w:proofErr w:type="gramStart"/>
      <w:r w:rsidRPr="00CE565B">
        <w:rPr>
          <w:rFonts w:ascii="Arial" w:hAnsi="Arial" w:cs="Arial"/>
          <w:b/>
          <w:sz w:val="24"/>
          <w:szCs w:val="24"/>
        </w:rPr>
        <w:t xml:space="preserve">de </w:t>
      </w:r>
      <w:proofErr w:type="spellStart"/>
      <w:r w:rsidRPr="00CE565B">
        <w:rPr>
          <w:rFonts w:ascii="Arial" w:hAnsi="Arial" w:cs="Arial"/>
          <w:b/>
          <w:sz w:val="24"/>
          <w:szCs w:val="24"/>
        </w:rPr>
        <w:t>Enertherm</w:t>
      </w:r>
      <w:proofErr w:type="spellEnd"/>
      <w:proofErr w:type="gramEnd"/>
    </w:p>
    <w:p w:rsidR="00CE565B" w:rsidRPr="00CE565B" w:rsidRDefault="00CE565B" w:rsidP="00E31263">
      <w:pPr>
        <w:autoSpaceDE w:val="0"/>
        <w:autoSpaceDN w:val="0"/>
        <w:adjustRightInd w:val="0"/>
        <w:spacing w:after="0" w:line="240" w:lineRule="auto"/>
        <w:rPr>
          <w:rFonts w:ascii="Arial" w:hAnsi="Arial" w:cs="Arial"/>
          <w:b/>
          <w:sz w:val="24"/>
          <w:szCs w:val="24"/>
        </w:rPr>
      </w:pPr>
    </w:p>
    <w:p w:rsidR="00E31263" w:rsidRDefault="00E31263" w:rsidP="00E31263">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Lors de la remise des offres, en octobre 2000, ENERTHERM, le futur concessionnaire, et CLIMADEF n'avaient pas de lien capitalistique. ENERTHERM n'avait pas d'existence juridique (la</w:t>
      </w:r>
      <w:r w:rsidR="00CE565B">
        <w:rPr>
          <w:rFonts w:ascii="Arial" w:hAnsi="Arial" w:cs="Arial"/>
          <w:sz w:val="24"/>
          <w:szCs w:val="24"/>
        </w:rPr>
        <w:t xml:space="preserve"> </w:t>
      </w:r>
      <w:r>
        <w:rPr>
          <w:rFonts w:ascii="Arial" w:hAnsi="Arial" w:cs="Arial"/>
          <w:sz w:val="24"/>
          <w:szCs w:val="24"/>
        </w:rPr>
        <w:t>société a été créée en septembre 2002). En revanche, en mars 2001, le rachat de la SEEM,</w:t>
      </w:r>
      <w:r w:rsidR="00CE565B">
        <w:rPr>
          <w:rFonts w:ascii="Arial" w:hAnsi="Arial" w:cs="Arial"/>
          <w:sz w:val="24"/>
          <w:szCs w:val="24"/>
        </w:rPr>
        <w:t xml:space="preserve"> </w:t>
      </w:r>
      <w:r>
        <w:rPr>
          <w:rFonts w:ascii="Arial" w:hAnsi="Arial" w:cs="Arial"/>
          <w:sz w:val="24"/>
          <w:szCs w:val="24"/>
        </w:rPr>
        <w:t xml:space="preserve">actionnaire à 50% de CLIMADEF, par M. </w:t>
      </w:r>
      <w:proofErr w:type="spellStart"/>
      <w:r>
        <w:rPr>
          <w:rFonts w:ascii="Arial" w:hAnsi="Arial" w:cs="Arial"/>
          <w:sz w:val="24"/>
          <w:szCs w:val="24"/>
        </w:rPr>
        <w:t>Forterre</w:t>
      </w:r>
      <w:proofErr w:type="spellEnd"/>
      <w:r>
        <w:rPr>
          <w:rFonts w:ascii="Arial" w:hAnsi="Arial" w:cs="Arial"/>
          <w:sz w:val="24"/>
          <w:szCs w:val="24"/>
        </w:rPr>
        <w:t>, président d'ENERPART (associé à M.</w:t>
      </w:r>
      <w:r w:rsidR="00CE565B">
        <w:rPr>
          <w:rFonts w:ascii="Arial" w:hAnsi="Arial" w:cs="Arial"/>
          <w:sz w:val="24"/>
          <w:szCs w:val="24"/>
        </w:rPr>
        <w:t xml:space="preserve"> </w:t>
      </w:r>
      <w:proofErr w:type="spellStart"/>
      <w:r>
        <w:rPr>
          <w:rFonts w:ascii="Arial" w:hAnsi="Arial" w:cs="Arial"/>
          <w:sz w:val="24"/>
          <w:szCs w:val="24"/>
        </w:rPr>
        <w:t>Bonnefont</w:t>
      </w:r>
      <w:proofErr w:type="spellEnd"/>
      <w:r>
        <w:rPr>
          <w:rFonts w:ascii="Arial" w:hAnsi="Arial" w:cs="Arial"/>
          <w:sz w:val="24"/>
          <w:szCs w:val="24"/>
        </w:rPr>
        <w:t>, président de CLIMADEF, et à JUBEN Holding), va créer des liens entre le groupement</w:t>
      </w:r>
    </w:p>
    <w:p w:rsidR="00E31263" w:rsidRDefault="00E31263" w:rsidP="00E31263">
      <w:pPr>
        <w:autoSpaceDE w:val="0"/>
        <w:autoSpaceDN w:val="0"/>
        <w:adjustRightInd w:val="0"/>
        <w:spacing w:after="0" w:line="240" w:lineRule="auto"/>
        <w:rPr>
          <w:rFonts w:ascii="Arial" w:hAnsi="Arial" w:cs="Arial"/>
          <w:sz w:val="24"/>
          <w:szCs w:val="24"/>
        </w:rPr>
      </w:pPr>
      <w:r>
        <w:rPr>
          <w:rFonts w:ascii="Arial" w:hAnsi="Arial" w:cs="Arial"/>
          <w:sz w:val="24"/>
          <w:szCs w:val="24"/>
        </w:rPr>
        <w:t>dont fait partie ENERPART et CLIMADEF, encore concurrents pour une DSP seulement attribuée</w:t>
      </w:r>
      <w:r w:rsidR="00CE565B">
        <w:rPr>
          <w:rFonts w:ascii="Arial" w:hAnsi="Arial" w:cs="Arial"/>
          <w:sz w:val="24"/>
          <w:szCs w:val="24"/>
        </w:rPr>
        <w:t xml:space="preserve"> </w:t>
      </w:r>
      <w:r>
        <w:rPr>
          <w:rFonts w:ascii="Arial" w:hAnsi="Arial" w:cs="Arial"/>
          <w:sz w:val="24"/>
          <w:szCs w:val="24"/>
        </w:rPr>
        <w:t>par délibération de novembre 2001. A partir de septembre 2002, ENERPART, alors détenu à</w:t>
      </w:r>
      <w:r w:rsidR="00CE565B">
        <w:rPr>
          <w:rFonts w:ascii="Arial" w:hAnsi="Arial" w:cs="Arial"/>
          <w:sz w:val="24"/>
          <w:szCs w:val="24"/>
        </w:rPr>
        <w:t xml:space="preserve"> </w:t>
      </w:r>
      <w:r>
        <w:rPr>
          <w:rFonts w:ascii="Arial" w:hAnsi="Arial" w:cs="Arial"/>
          <w:sz w:val="24"/>
          <w:szCs w:val="24"/>
        </w:rPr>
        <w:t>43,55 % par la SEEM, deviendra actionnaire à 84,97% d'ENERTHERM, le nouveau</w:t>
      </w:r>
      <w:r w:rsidR="00CE565B">
        <w:rPr>
          <w:rFonts w:ascii="Arial" w:hAnsi="Arial" w:cs="Arial"/>
          <w:sz w:val="24"/>
          <w:szCs w:val="24"/>
        </w:rPr>
        <w:t xml:space="preserve"> </w:t>
      </w:r>
      <w:r>
        <w:rPr>
          <w:rFonts w:ascii="Arial" w:hAnsi="Arial" w:cs="Arial"/>
          <w:sz w:val="24"/>
          <w:szCs w:val="24"/>
        </w:rPr>
        <w:t>concessionnaire qui a pris la succession du groupement ENERPART-VATECH-SOFFIMAT.</w:t>
      </w:r>
    </w:p>
    <w:p w:rsidR="00CE565B" w:rsidRDefault="00CE565B" w:rsidP="00E31263">
      <w:pPr>
        <w:autoSpaceDE w:val="0"/>
        <w:autoSpaceDN w:val="0"/>
        <w:adjustRightInd w:val="0"/>
        <w:spacing w:after="0" w:line="240" w:lineRule="auto"/>
        <w:rPr>
          <w:rFonts w:ascii="Arial" w:hAnsi="Arial" w:cs="Arial"/>
          <w:sz w:val="24"/>
          <w:szCs w:val="24"/>
        </w:rPr>
      </w:pPr>
    </w:p>
    <w:p w:rsidR="00CE565B" w:rsidRPr="00B66688" w:rsidRDefault="00CE565B" w:rsidP="00E31263">
      <w:pPr>
        <w:autoSpaceDE w:val="0"/>
        <w:autoSpaceDN w:val="0"/>
        <w:adjustRightInd w:val="0"/>
        <w:spacing w:after="0" w:line="240" w:lineRule="auto"/>
        <w:rPr>
          <w:rFonts w:ascii="Arial" w:hAnsi="Arial" w:cs="Arial"/>
          <w:b/>
          <w:sz w:val="24"/>
          <w:szCs w:val="24"/>
        </w:rPr>
      </w:pPr>
      <w:proofErr w:type="spellStart"/>
      <w:r w:rsidRPr="00B66688">
        <w:rPr>
          <w:rFonts w:ascii="Arial" w:hAnsi="Arial" w:cs="Arial"/>
          <w:b/>
          <w:sz w:val="24"/>
          <w:szCs w:val="24"/>
        </w:rPr>
        <w:t>Nueva</w:t>
      </w:r>
      <w:proofErr w:type="spellEnd"/>
      <w:r w:rsidRPr="00B66688">
        <w:rPr>
          <w:rFonts w:ascii="Arial" w:hAnsi="Arial" w:cs="Arial"/>
          <w:b/>
          <w:sz w:val="24"/>
          <w:szCs w:val="24"/>
        </w:rPr>
        <w:t xml:space="preserve"> concession</w:t>
      </w:r>
    </w:p>
    <w:p w:rsidR="00CE565B" w:rsidRDefault="00CE565B" w:rsidP="00E31263">
      <w:pPr>
        <w:autoSpaceDE w:val="0"/>
        <w:autoSpaceDN w:val="0"/>
        <w:adjustRightInd w:val="0"/>
        <w:spacing w:after="0" w:line="240" w:lineRule="auto"/>
        <w:rPr>
          <w:rFonts w:ascii="Arial" w:hAnsi="Arial" w:cs="Arial"/>
          <w:sz w:val="24"/>
          <w:szCs w:val="24"/>
        </w:rPr>
      </w:pPr>
    </w:p>
    <w:p w:rsidR="001E5253" w:rsidRDefault="001E5253" w:rsidP="001E5253">
      <w:pPr>
        <w:autoSpaceDE w:val="0"/>
        <w:autoSpaceDN w:val="0"/>
        <w:adjustRightInd w:val="0"/>
        <w:spacing w:after="0" w:line="240" w:lineRule="auto"/>
        <w:rPr>
          <w:rFonts w:ascii="Arial" w:hAnsi="Arial" w:cs="Arial"/>
          <w:sz w:val="24"/>
          <w:szCs w:val="24"/>
        </w:rPr>
      </w:pPr>
      <w:r>
        <w:rPr>
          <w:rFonts w:ascii="Arial" w:hAnsi="Arial" w:cs="Arial"/>
          <w:sz w:val="24"/>
          <w:szCs w:val="24"/>
        </w:rPr>
        <w:t>Les objectifs assignés au nouveau concessionnaire en matière de puissance calorifique et de cogénération ne sont ni précis, ni chiffrés, ni datés. L'annexe relative au programme général des travaux de premier établissement indique simplement à propos du site Noël Pons que "la centrale de production de chaleur est implantée dans un bâtiment fonctionnel, capable de recevoir une turbine à gaz de 25 à 45 MW électriques avec sa chaudière de récupération de 60 MW et de deux chaudières à gaz autonomes de 60 MW et conçu dans le respect et la mise en valeur de l'environnement." L'ordonnateur justifie cette imprécision volontaire par le souci d'assurer la continuité du service public ce qui soumet néanmoins le syndicat à des risques d'interprétations diverses de la part du concessionnaire.</w:t>
      </w:r>
    </w:p>
    <w:p w:rsidR="001E5253" w:rsidRDefault="001E5253" w:rsidP="00CE565B">
      <w:pPr>
        <w:autoSpaceDE w:val="0"/>
        <w:autoSpaceDN w:val="0"/>
        <w:adjustRightInd w:val="0"/>
        <w:spacing w:after="0" w:line="240" w:lineRule="auto"/>
        <w:rPr>
          <w:rFonts w:ascii="Arial" w:hAnsi="Arial" w:cs="Arial"/>
          <w:sz w:val="24"/>
          <w:szCs w:val="24"/>
        </w:rPr>
      </w:pPr>
    </w:p>
    <w:p w:rsidR="00CE565B" w:rsidRDefault="00CE565B" w:rsidP="00CE565B">
      <w:pPr>
        <w:autoSpaceDE w:val="0"/>
        <w:autoSpaceDN w:val="0"/>
        <w:adjustRightInd w:val="0"/>
        <w:spacing w:after="0" w:line="240" w:lineRule="auto"/>
        <w:rPr>
          <w:rFonts w:ascii="Arial" w:hAnsi="Arial" w:cs="Arial"/>
          <w:sz w:val="24"/>
          <w:szCs w:val="24"/>
        </w:rPr>
      </w:pPr>
      <w:r>
        <w:rPr>
          <w:rFonts w:ascii="Arial" w:hAnsi="Arial" w:cs="Arial"/>
          <w:sz w:val="24"/>
          <w:szCs w:val="24"/>
        </w:rPr>
        <w:t>Tout d'abord, si le nouveau concessionnaire conserve, comme dans l'ancienne concession, l'exclusivité de l'utilisation des ouvrages concédés, la clause sur l'exclusivité de la production et de</w:t>
      </w:r>
      <w:r w:rsidR="001E5253">
        <w:rPr>
          <w:rFonts w:ascii="Arial" w:hAnsi="Arial" w:cs="Arial"/>
          <w:sz w:val="24"/>
          <w:szCs w:val="24"/>
        </w:rPr>
        <w:t xml:space="preserve"> </w:t>
      </w:r>
      <w:r>
        <w:rPr>
          <w:rFonts w:ascii="Arial" w:hAnsi="Arial" w:cs="Arial"/>
          <w:sz w:val="24"/>
          <w:szCs w:val="24"/>
        </w:rPr>
        <w:t>la distribution de chaleur et de froid à l'intérieur du périmètre a disparu de la nouvelle concession,</w:t>
      </w:r>
      <w:r w:rsidR="001E5253">
        <w:rPr>
          <w:rFonts w:ascii="Arial" w:hAnsi="Arial" w:cs="Arial"/>
          <w:sz w:val="24"/>
          <w:szCs w:val="24"/>
        </w:rPr>
        <w:t xml:space="preserve"> </w:t>
      </w:r>
      <w:r>
        <w:rPr>
          <w:rFonts w:ascii="Arial" w:hAnsi="Arial" w:cs="Arial"/>
          <w:sz w:val="24"/>
          <w:szCs w:val="24"/>
        </w:rPr>
        <w:t>sans que la fin de cette exclusivité soit explicitement mentionnée. De plus, la Chambre ne dispose</w:t>
      </w:r>
      <w:r w:rsidR="001E5253">
        <w:rPr>
          <w:rFonts w:ascii="Arial" w:hAnsi="Arial" w:cs="Arial"/>
          <w:sz w:val="24"/>
          <w:szCs w:val="24"/>
        </w:rPr>
        <w:t xml:space="preserve"> </w:t>
      </w:r>
      <w:r>
        <w:rPr>
          <w:rFonts w:ascii="Arial" w:hAnsi="Arial" w:cs="Arial"/>
          <w:sz w:val="24"/>
          <w:szCs w:val="24"/>
        </w:rPr>
        <w:t>pas de documents informant les usagers de la fin de l'exclusivité. Elle prend acte de l'engagement</w:t>
      </w:r>
    </w:p>
    <w:p w:rsidR="00CE565B" w:rsidRDefault="00CE565B" w:rsidP="00CE565B">
      <w:pPr>
        <w:autoSpaceDE w:val="0"/>
        <w:autoSpaceDN w:val="0"/>
        <w:adjustRightInd w:val="0"/>
        <w:spacing w:after="0" w:line="240" w:lineRule="auto"/>
        <w:rPr>
          <w:rFonts w:ascii="Arial" w:hAnsi="Arial" w:cs="Arial"/>
          <w:sz w:val="24"/>
          <w:szCs w:val="24"/>
        </w:rPr>
      </w:pPr>
      <w:proofErr w:type="gramStart"/>
      <w:r>
        <w:rPr>
          <w:rFonts w:ascii="Arial" w:hAnsi="Arial" w:cs="Arial"/>
          <w:sz w:val="24"/>
          <w:szCs w:val="24"/>
        </w:rPr>
        <w:t>du</w:t>
      </w:r>
      <w:proofErr w:type="gramEnd"/>
      <w:r>
        <w:rPr>
          <w:rFonts w:ascii="Arial" w:hAnsi="Arial" w:cs="Arial"/>
          <w:sz w:val="24"/>
          <w:szCs w:val="24"/>
        </w:rPr>
        <w:t xml:space="preserve"> syndicat de leur écrire à ce sujet.</w:t>
      </w:r>
    </w:p>
    <w:sectPr w:rsidR="00CE565B" w:rsidSect="001E0E2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BB2748"/>
    <w:rsid w:val="001E0E27"/>
    <w:rsid w:val="001E5253"/>
    <w:rsid w:val="00655F59"/>
    <w:rsid w:val="00B66688"/>
    <w:rsid w:val="00BB2748"/>
    <w:rsid w:val="00C13DC8"/>
    <w:rsid w:val="00CE565B"/>
    <w:rsid w:val="00E3126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0E2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2</Pages>
  <Words>808</Words>
  <Characters>4448</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AHS</dc:creator>
  <cp:lastModifiedBy>AHS</cp:lastModifiedBy>
  <cp:revision>2</cp:revision>
  <dcterms:created xsi:type="dcterms:W3CDTF">2010-06-07T07:35:00Z</dcterms:created>
  <dcterms:modified xsi:type="dcterms:W3CDTF">2010-06-07T09:12:00Z</dcterms:modified>
</cp:coreProperties>
</file>