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193" w:rsidRPr="00776193" w:rsidRDefault="00776193" w:rsidP="00776193">
      <w:pPr>
        <w:spacing w:after="84" w:line="240" w:lineRule="auto"/>
        <w:rPr>
          <w:rFonts w:ascii="Arial" w:eastAsia="Times New Roman" w:hAnsi="Arial" w:cs="Arial"/>
          <w:b/>
          <w:bCs/>
          <w:sz w:val="20"/>
          <w:szCs w:val="20"/>
          <w:lang w:eastAsia="fr-FR"/>
        </w:rPr>
      </w:pPr>
      <w:r w:rsidRPr="00776193">
        <w:rPr>
          <w:rFonts w:ascii="Arial" w:eastAsia="Times New Roman" w:hAnsi="Arial" w:cs="Arial"/>
          <w:b/>
          <w:bCs/>
          <w:sz w:val="20"/>
          <w:szCs w:val="20"/>
          <w:lang w:eastAsia="fr-FR"/>
        </w:rPr>
        <w:t xml:space="preserve">REGIONS • ÎLE-DE-FRANCE </w:t>
      </w:r>
    </w:p>
    <w:p w:rsidR="00776193" w:rsidRPr="00776193" w:rsidRDefault="00776193" w:rsidP="00776193">
      <w:pPr>
        <w:spacing w:after="84" w:line="335" w:lineRule="atLeast"/>
        <w:jc w:val="both"/>
        <w:rPr>
          <w:rFonts w:ascii="Arial" w:eastAsia="Times New Roman" w:hAnsi="Arial" w:cs="Arial"/>
          <w:sz w:val="23"/>
          <w:szCs w:val="23"/>
          <w:lang w:eastAsia="fr-FR"/>
        </w:rPr>
      </w:pPr>
      <w:r w:rsidRPr="00776193">
        <w:rPr>
          <w:rFonts w:ascii="Arial" w:eastAsia="Times New Roman" w:hAnsi="Arial" w:cs="Arial"/>
          <w:sz w:val="23"/>
          <w:szCs w:val="23"/>
          <w:lang w:eastAsia="fr-FR"/>
        </w:rPr>
        <w:t xml:space="preserve">La deuxième plus grosse concession de chauffage urbain en France est sur le point d'être attribuée à </w:t>
      </w:r>
      <w:proofErr w:type="spellStart"/>
      <w:r w:rsidRPr="00776193">
        <w:rPr>
          <w:rFonts w:ascii="Arial" w:eastAsia="Times New Roman" w:hAnsi="Arial" w:cs="Arial"/>
          <w:sz w:val="23"/>
          <w:szCs w:val="23"/>
          <w:lang w:eastAsia="fr-FR"/>
        </w:rPr>
        <w:t>Enerpart</w:t>
      </w:r>
      <w:proofErr w:type="spellEnd"/>
      <w:r w:rsidRPr="00776193">
        <w:rPr>
          <w:rFonts w:ascii="Arial" w:eastAsia="Times New Roman" w:hAnsi="Arial" w:cs="Arial"/>
          <w:sz w:val="23"/>
          <w:szCs w:val="23"/>
          <w:lang w:eastAsia="fr-FR"/>
        </w:rPr>
        <w:t xml:space="preserve">, qui remporte la compétition devant les plus gros énergéticiens. </w:t>
      </w:r>
    </w:p>
    <w:p w:rsidR="00776193" w:rsidRPr="00776193" w:rsidRDefault="00776193" w:rsidP="00776193">
      <w:pPr>
        <w:spacing w:after="0" w:line="240" w:lineRule="auto"/>
        <w:outlineLvl w:val="1"/>
        <w:rPr>
          <w:rFonts w:ascii="Arial" w:eastAsia="Times New Roman" w:hAnsi="Arial" w:cs="Arial"/>
          <w:kern w:val="36"/>
          <w:sz w:val="50"/>
          <w:szCs w:val="50"/>
          <w:lang w:eastAsia="fr-FR"/>
        </w:rPr>
      </w:pPr>
      <w:proofErr w:type="spellStart"/>
      <w:r w:rsidRPr="00776193">
        <w:rPr>
          <w:rFonts w:ascii="Arial" w:eastAsia="Times New Roman" w:hAnsi="Arial" w:cs="Arial"/>
          <w:kern w:val="36"/>
          <w:sz w:val="50"/>
          <w:szCs w:val="50"/>
          <w:lang w:eastAsia="fr-FR"/>
        </w:rPr>
        <w:t>Enerpart</w:t>
      </w:r>
      <w:proofErr w:type="spellEnd"/>
      <w:r w:rsidRPr="00776193">
        <w:rPr>
          <w:rFonts w:ascii="Arial" w:eastAsia="Times New Roman" w:hAnsi="Arial" w:cs="Arial"/>
          <w:kern w:val="36"/>
          <w:sz w:val="50"/>
          <w:szCs w:val="50"/>
          <w:lang w:eastAsia="fr-FR"/>
        </w:rPr>
        <w:t xml:space="preserve"> obtient le marché du chauffage de la Défense </w:t>
      </w:r>
    </w:p>
    <w:p w:rsidR="00776193" w:rsidRPr="00776193" w:rsidRDefault="00776193" w:rsidP="00776193">
      <w:pPr>
        <w:spacing w:after="0" w:line="240" w:lineRule="auto"/>
        <w:rPr>
          <w:rFonts w:ascii="Arial" w:eastAsia="Times New Roman" w:hAnsi="Arial" w:cs="Arial"/>
          <w:sz w:val="20"/>
          <w:szCs w:val="20"/>
          <w:lang w:eastAsia="fr-FR"/>
        </w:rPr>
      </w:pPr>
      <w:r w:rsidRPr="00776193">
        <w:rPr>
          <w:rFonts w:ascii="Arial" w:eastAsia="Times New Roman" w:hAnsi="Arial" w:cs="Arial"/>
          <w:color w:val="777777"/>
          <w:sz w:val="18"/>
          <w:lang w:eastAsia="fr-FR"/>
        </w:rPr>
        <w:t>Les Echos n° 18425 du 18 Juin 2001 • page 28</w:t>
      </w:r>
      <w:r w:rsidRPr="00776193">
        <w:rPr>
          <w:rFonts w:ascii="Arial" w:eastAsia="Times New Roman" w:hAnsi="Arial" w:cs="Arial"/>
          <w:sz w:val="20"/>
          <w:szCs w:val="20"/>
          <w:lang w:eastAsia="fr-FR"/>
        </w:rPr>
        <w:t xml:space="preserve"> </w:t>
      </w:r>
    </w:p>
    <w:p w:rsidR="00776193" w:rsidRPr="00776193" w:rsidRDefault="00776193" w:rsidP="00776193">
      <w:pPr>
        <w:spacing w:after="84" w:line="335" w:lineRule="atLeast"/>
        <w:jc w:val="both"/>
        <w:rPr>
          <w:rFonts w:ascii="Arial" w:eastAsia="Times New Roman" w:hAnsi="Arial" w:cs="Arial"/>
          <w:sz w:val="23"/>
          <w:szCs w:val="23"/>
          <w:lang w:eastAsia="fr-FR"/>
        </w:rPr>
      </w:pPr>
      <w:r w:rsidRPr="00776193">
        <w:rPr>
          <w:rFonts w:ascii="Arial" w:eastAsia="Times New Roman" w:hAnsi="Arial" w:cs="Arial"/>
          <w:sz w:val="23"/>
          <w:szCs w:val="23"/>
          <w:lang w:eastAsia="fr-FR"/>
        </w:rPr>
        <w:t xml:space="preserve">C'est un marché considérable qui est en passe d'être attribué. A l'issue d'une longue procédure, interrompue une fois, le </w:t>
      </w:r>
      <w:proofErr w:type="spellStart"/>
      <w:r w:rsidRPr="00776193">
        <w:rPr>
          <w:rFonts w:ascii="Arial" w:eastAsia="Times New Roman" w:hAnsi="Arial" w:cs="Arial"/>
          <w:sz w:val="23"/>
          <w:szCs w:val="23"/>
          <w:lang w:eastAsia="fr-FR"/>
        </w:rPr>
        <w:t>Sicudef</w:t>
      </w:r>
      <w:proofErr w:type="spellEnd"/>
      <w:r w:rsidRPr="00776193">
        <w:rPr>
          <w:rFonts w:ascii="Arial" w:eastAsia="Times New Roman" w:hAnsi="Arial" w:cs="Arial"/>
          <w:sz w:val="23"/>
          <w:szCs w:val="23"/>
          <w:lang w:eastAsia="fr-FR"/>
        </w:rPr>
        <w:t xml:space="preserve">, autorité concédante du marché du chauffage urbain et de la climatisation de la Défense, présidée par Charles </w:t>
      </w:r>
      <w:proofErr w:type="spellStart"/>
      <w:r w:rsidRPr="00776193">
        <w:rPr>
          <w:rFonts w:ascii="Arial" w:eastAsia="Times New Roman" w:hAnsi="Arial" w:cs="Arial"/>
          <w:sz w:val="23"/>
          <w:szCs w:val="23"/>
          <w:lang w:eastAsia="fr-FR"/>
        </w:rPr>
        <w:t>Ceccaldi</w:t>
      </w:r>
      <w:proofErr w:type="spellEnd"/>
      <w:r w:rsidRPr="00776193">
        <w:rPr>
          <w:rFonts w:ascii="Arial" w:eastAsia="Times New Roman" w:hAnsi="Arial" w:cs="Arial"/>
          <w:sz w:val="23"/>
          <w:szCs w:val="23"/>
          <w:lang w:eastAsia="fr-FR"/>
        </w:rPr>
        <w:t xml:space="preserve">-Raynaud (sénateur-maire de Puteaux), vient de retenir l'une des sept offres qui lui ont été remises. Il s'agit de celle d'un groupement présidé par Bernard </w:t>
      </w:r>
      <w:proofErr w:type="spellStart"/>
      <w:r w:rsidRPr="00776193">
        <w:rPr>
          <w:rFonts w:ascii="Arial" w:eastAsia="Times New Roman" w:hAnsi="Arial" w:cs="Arial"/>
          <w:sz w:val="23"/>
          <w:szCs w:val="23"/>
          <w:lang w:eastAsia="fr-FR"/>
        </w:rPr>
        <w:t>Forterre</w:t>
      </w:r>
      <w:proofErr w:type="spellEnd"/>
      <w:r w:rsidRPr="00776193">
        <w:rPr>
          <w:rFonts w:ascii="Arial" w:eastAsia="Times New Roman" w:hAnsi="Arial" w:cs="Arial"/>
          <w:sz w:val="23"/>
          <w:szCs w:val="23"/>
          <w:lang w:eastAsia="fr-FR"/>
        </w:rPr>
        <w:t xml:space="preserve">, ancien patron de la Générale de Chauffe (groupe Générale des Eaux). Le contrat devrait être signé dans les prochaines semaines. </w:t>
      </w:r>
    </w:p>
    <w:p w:rsidR="00776193" w:rsidRPr="00776193" w:rsidRDefault="00776193" w:rsidP="00776193">
      <w:pPr>
        <w:spacing w:after="84" w:line="335" w:lineRule="atLeast"/>
        <w:jc w:val="both"/>
        <w:rPr>
          <w:rFonts w:ascii="Arial" w:eastAsia="Times New Roman" w:hAnsi="Arial" w:cs="Arial"/>
          <w:sz w:val="23"/>
          <w:szCs w:val="23"/>
          <w:lang w:eastAsia="fr-FR"/>
        </w:rPr>
      </w:pPr>
      <w:proofErr w:type="spellStart"/>
      <w:r w:rsidRPr="00776193">
        <w:rPr>
          <w:rFonts w:ascii="Arial" w:eastAsia="Times New Roman" w:hAnsi="Arial" w:cs="Arial"/>
          <w:sz w:val="23"/>
          <w:szCs w:val="23"/>
          <w:lang w:eastAsia="fr-FR"/>
        </w:rPr>
        <w:t>Enerpart</w:t>
      </w:r>
      <w:proofErr w:type="spellEnd"/>
      <w:r w:rsidRPr="00776193">
        <w:rPr>
          <w:rFonts w:ascii="Arial" w:eastAsia="Times New Roman" w:hAnsi="Arial" w:cs="Arial"/>
          <w:sz w:val="23"/>
          <w:szCs w:val="23"/>
          <w:lang w:eastAsia="fr-FR"/>
        </w:rPr>
        <w:t xml:space="preserve"> triomphe donc à l'issue d'une procédure où figuraient quelques mastodontes de l'énergie comme EDF, </w:t>
      </w:r>
      <w:proofErr w:type="spellStart"/>
      <w:r w:rsidRPr="00776193">
        <w:rPr>
          <w:rFonts w:ascii="Arial" w:eastAsia="Times New Roman" w:hAnsi="Arial" w:cs="Arial"/>
          <w:sz w:val="23"/>
          <w:szCs w:val="23"/>
          <w:lang w:eastAsia="fr-FR"/>
        </w:rPr>
        <w:t>Elyo</w:t>
      </w:r>
      <w:proofErr w:type="spellEnd"/>
      <w:r w:rsidRPr="00776193">
        <w:rPr>
          <w:rFonts w:ascii="Arial" w:eastAsia="Times New Roman" w:hAnsi="Arial" w:cs="Arial"/>
          <w:sz w:val="23"/>
          <w:szCs w:val="23"/>
          <w:lang w:eastAsia="fr-FR"/>
        </w:rPr>
        <w:t xml:space="preserve">, GDF et </w:t>
      </w:r>
      <w:proofErr w:type="spellStart"/>
      <w:r w:rsidRPr="00776193">
        <w:rPr>
          <w:rFonts w:ascii="Arial" w:eastAsia="Times New Roman" w:hAnsi="Arial" w:cs="Arial"/>
          <w:sz w:val="23"/>
          <w:szCs w:val="23"/>
          <w:lang w:eastAsia="fr-FR"/>
        </w:rPr>
        <w:t>Dalkia</w:t>
      </w:r>
      <w:proofErr w:type="spellEnd"/>
      <w:r w:rsidRPr="00776193">
        <w:rPr>
          <w:rFonts w:ascii="Arial" w:eastAsia="Times New Roman" w:hAnsi="Arial" w:cs="Arial"/>
          <w:sz w:val="23"/>
          <w:szCs w:val="23"/>
          <w:lang w:eastAsia="fr-FR"/>
        </w:rPr>
        <w:t xml:space="preserve">. Avaient également répondu la Compagnie Parisienne de Chauffage Urbain (CPCU, filiale de Suez) et </w:t>
      </w:r>
      <w:proofErr w:type="spellStart"/>
      <w:r w:rsidRPr="00776193">
        <w:rPr>
          <w:rFonts w:ascii="Arial" w:eastAsia="Times New Roman" w:hAnsi="Arial" w:cs="Arial"/>
          <w:sz w:val="23"/>
          <w:szCs w:val="23"/>
          <w:lang w:eastAsia="fr-FR"/>
        </w:rPr>
        <w:t>Climadef</w:t>
      </w:r>
      <w:proofErr w:type="spellEnd"/>
      <w:r w:rsidRPr="00776193">
        <w:rPr>
          <w:rFonts w:ascii="Arial" w:eastAsia="Times New Roman" w:hAnsi="Arial" w:cs="Arial"/>
          <w:sz w:val="23"/>
          <w:szCs w:val="23"/>
          <w:lang w:eastAsia="fr-FR"/>
        </w:rPr>
        <w:t xml:space="preserve">, la société qui détient la concession jusqu'au 31 août 2002. Après la concession du réseau de chaleur de Paris détenue par la CPCU, la Défense constitue la deuxième concession de chauffage urbain de France avec un chiffre d'affaires d'environ 200 millions de francs (30,48 millions d'euros) par an pour une durée de vingt-sept ans. </w:t>
      </w:r>
    </w:p>
    <w:p w:rsidR="00776193" w:rsidRPr="00776193" w:rsidRDefault="00776193" w:rsidP="00776193">
      <w:pPr>
        <w:spacing w:after="84" w:line="335" w:lineRule="atLeast"/>
        <w:jc w:val="both"/>
        <w:rPr>
          <w:rFonts w:ascii="Arial" w:eastAsia="Times New Roman" w:hAnsi="Arial" w:cs="Arial"/>
          <w:sz w:val="23"/>
          <w:szCs w:val="23"/>
          <w:lang w:eastAsia="fr-FR"/>
        </w:rPr>
      </w:pPr>
      <w:proofErr w:type="spellStart"/>
      <w:r w:rsidRPr="00776193">
        <w:rPr>
          <w:rFonts w:ascii="Arial" w:eastAsia="Times New Roman" w:hAnsi="Arial" w:cs="Arial"/>
          <w:sz w:val="23"/>
          <w:szCs w:val="23"/>
          <w:lang w:eastAsia="fr-FR"/>
        </w:rPr>
        <w:t>Enerpart</w:t>
      </w:r>
      <w:proofErr w:type="spellEnd"/>
      <w:r w:rsidRPr="00776193">
        <w:rPr>
          <w:rFonts w:ascii="Arial" w:eastAsia="Times New Roman" w:hAnsi="Arial" w:cs="Arial"/>
          <w:sz w:val="23"/>
          <w:szCs w:val="23"/>
          <w:lang w:eastAsia="fr-FR"/>
        </w:rPr>
        <w:t xml:space="preserve">, qui a donc remporté l'appel d'offres, contrôlera 85 % de la future société concessionnaire, le reste étant détenu conjointement par l'autrichien </w:t>
      </w:r>
      <w:proofErr w:type="spellStart"/>
      <w:r w:rsidRPr="00776193">
        <w:rPr>
          <w:rFonts w:ascii="Arial" w:eastAsia="Times New Roman" w:hAnsi="Arial" w:cs="Arial"/>
          <w:sz w:val="23"/>
          <w:szCs w:val="23"/>
          <w:lang w:eastAsia="fr-FR"/>
        </w:rPr>
        <w:t>Vatech</w:t>
      </w:r>
      <w:proofErr w:type="spellEnd"/>
      <w:r w:rsidRPr="00776193">
        <w:rPr>
          <w:rFonts w:ascii="Arial" w:eastAsia="Times New Roman" w:hAnsi="Arial" w:cs="Arial"/>
          <w:sz w:val="23"/>
          <w:szCs w:val="23"/>
          <w:lang w:eastAsia="fr-FR"/>
        </w:rPr>
        <w:t xml:space="preserve"> et le français </w:t>
      </w:r>
      <w:proofErr w:type="spellStart"/>
      <w:r w:rsidRPr="00776193">
        <w:rPr>
          <w:rFonts w:ascii="Arial" w:eastAsia="Times New Roman" w:hAnsi="Arial" w:cs="Arial"/>
          <w:sz w:val="23"/>
          <w:szCs w:val="23"/>
          <w:lang w:eastAsia="fr-FR"/>
        </w:rPr>
        <w:t>Sofimat</w:t>
      </w:r>
      <w:proofErr w:type="spellEnd"/>
      <w:r w:rsidRPr="00776193">
        <w:rPr>
          <w:rFonts w:ascii="Arial" w:eastAsia="Times New Roman" w:hAnsi="Arial" w:cs="Arial"/>
          <w:sz w:val="23"/>
          <w:szCs w:val="23"/>
          <w:lang w:eastAsia="fr-FR"/>
        </w:rPr>
        <w:t xml:space="preserve">. Quant à </w:t>
      </w:r>
      <w:proofErr w:type="spellStart"/>
      <w:r w:rsidRPr="00776193">
        <w:rPr>
          <w:rFonts w:ascii="Arial" w:eastAsia="Times New Roman" w:hAnsi="Arial" w:cs="Arial"/>
          <w:sz w:val="23"/>
          <w:szCs w:val="23"/>
          <w:lang w:eastAsia="fr-FR"/>
        </w:rPr>
        <w:t>Enerpart</w:t>
      </w:r>
      <w:proofErr w:type="spellEnd"/>
      <w:r w:rsidRPr="00776193">
        <w:rPr>
          <w:rFonts w:ascii="Arial" w:eastAsia="Times New Roman" w:hAnsi="Arial" w:cs="Arial"/>
          <w:sz w:val="23"/>
          <w:szCs w:val="23"/>
          <w:lang w:eastAsia="fr-FR"/>
        </w:rPr>
        <w:t xml:space="preserve">, elle est à 50 % </w:t>
      </w:r>
      <w:r w:rsidRPr="00776193">
        <w:rPr>
          <w:rFonts w:ascii="Arial" w:eastAsia="Times New Roman" w:hAnsi="Arial" w:cs="Arial"/>
          <w:i/>
          <w:iCs/>
          <w:sz w:val="23"/>
          <w:szCs w:val="23"/>
          <w:lang w:eastAsia="fr-FR"/>
        </w:rPr>
        <w:t>« plus une poignée d'actions »</w:t>
      </w:r>
      <w:r w:rsidRPr="00776193">
        <w:rPr>
          <w:rFonts w:ascii="Arial" w:eastAsia="Times New Roman" w:hAnsi="Arial" w:cs="Arial"/>
          <w:sz w:val="23"/>
          <w:szCs w:val="23"/>
          <w:lang w:eastAsia="fr-FR"/>
        </w:rPr>
        <w:t xml:space="preserve"> entre les mains de Bernard </w:t>
      </w:r>
      <w:proofErr w:type="spellStart"/>
      <w:r w:rsidRPr="00776193">
        <w:rPr>
          <w:rFonts w:ascii="Arial" w:eastAsia="Times New Roman" w:hAnsi="Arial" w:cs="Arial"/>
          <w:sz w:val="23"/>
          <w:szCs w:val="23"/>
          <w:lang w:eastAsia="fr-FR"/>
        </w:rPr>
        <w:t>Forterre</w:t>
      </w:r>
      <w:proofErr w:type="spellEnd"/>
      <w:r w:rsidRPr="00776193">
        <w:rPr>
          <w:rFonts w:ascii="Arial" w:eastAsia="Times New Roman" w:hAnsi="Arial" w:cs="Arial"/>
          <w:sz w:val="23"/>
          <w:szCs w:val="23"/>
          <w:lang w:eastAsia="fr-FR"/>
        </w:rPr>
        <w:t xml:space="preserve"> et de </w:t>
      </w:r>
      <w:proofErr w:type="spellStart"/>
      <w:r w:rsidRPr="00776193">
        <w:rPr>
          <w:rFonts w:ascii="Arial" w:eastAsia="Times New Roman" w:hAnsi="Arial" w:cs="Arial"/>
          <w:sz w:val="23"/>
          <w:szCs w:val="23"/>
          <w:lang w:eastAsia="fr-FR"/>
        </w:rPr>
        <w:t>Juben</w:t>
      </w:r>
      <w:proofErr w:type="spellEnd"/>
      <w:r w:rsidRPr="00776193">
        <w:rPr>
          <w:rFonts w:ascii="Arial" w:eastAsia="Times New Roman" w:hAnsi="Arial" w:cs="Arial"/>
          <w:sz w:val="23"/>
          <w:szCs w:val="23"/>
          <w:lang w:eastAsia="fr-FR"/>
        </w:rPr>
        <w:t xml:space="preserve"> Holding, société dirigée par un investisseur, Laurent Gimel. </w:t>
      </w:r>
    </w:p>
    <w:p w:rsidR="00776193" w:rsidRPr="00776193" w:rsidRDefault="00776193" w:rsidP="00776193">
      <w:pPr>
        <w:spacing w:after="84" w:line="335" w:lineRule="atLeast"/>
        <w:jc w:val="both"/>
        <w:rPr>
          <w:rFonts w:ascii="Arial" w:eastAsia="Times New Roman" w:hAnsi="Arial" w:cs="Arial"/>
          <w:sz w:val="23"/>
          <w:szCs w:val="23"/>
          <w:lang w:eastAsia="fr-FR"/>
        </w:rPr>
      </w:pPr>
      <w:r w:rsidRPr="00776193">
        <w:rPr>
          <w:rFonts w:ascii="Arial" w:eastAsia="Times New Roman" w:hAnsi="Arial" w:cs="Arial"/>
          <w:sz w:val="23"/>
          <w:szCs w:val="23"/>
          <w:lang w:eastAsia="fr-FR"/>
        </w:rPr>
        <w:t xml:space="preserve">Recours possibles </w:t>
      </w:r>
      <w:r w:rsidRPr="00776193">
        <w:rPr>
          <w:rFonts w:ascii="Arial" w:eastAsia="Times New Roman" w:hAnsi="Arial" w:cs="Arial"/>
          <w:sz w:val="23"/>
          <w:szCs w:val="23"/>
          <w:lang w:eastAsia="fr-FR"/>
        </w:rPr>
        <w:br/>
        <w:t xml:space="preserve">Dans cette affaire, la plupart des candidats participaient à plusieurs projets. C'était notamment le cas des actionnaires de </w:t>
      </w:r>
      <w:proofErr w:type="spellStart"/>
      <w:r w:rsidRPr="00776193">
        <w:rPr>
          <w:rFonts w:ascii="Arial" w:eastAsia="Times New Roman" w:hAnsi="Arial" w:cs="Arial"/>
          <w:sz w:val="23"/>
          <w:szCs w:val="23"/>
          <w:lang w:eastAsia="fr-FR"/>
        </w:rPr>
        <w:t>Climadef</w:t>
      </w:r>
      <w:proofErr w:type="spellEnd"/>
      <w:r w:rsidRPr="00776193">
        <w:rPr>
          <w:rFonts w:ascii="Arial" w:eastAsia="Times New Roman" w:hAnsi="Arial" w:cs="Arial"/>
          <w:sz w:val="23"/>
          <w:szCs w:val="23"/>
          <w:lang w:eastAsia="fr-FR"/>
        </w:rPr>
        <w:t xml:space="preserve">, dont la cote a sans doute pâti de l'explosion mortelle d'une conduite de gaz en 1994, qui avait coûté la vie à deux personnes. Une affaire qui n'a pas encore été jugée. Peut-être est-ce l'une des raisons qui ont conduit Bernard </w:t>
      </w:r>
      <w:proofErr w:type="spellStart"/>
      <w:r w:rsidRPr="00776193">
        <w:rPr>
          <w:rFonts w:ascii="Arial" w:eastAsia="Times New Roman" w:hAnsi="Arial" w:cs="Arial"/>
          <w:sz w:val="23"/>
          <w:szCs w:val="23"/>
          <w:lang w:eastAsia="fr-FR"/>
        </w:rPr>
        <w:t>Forterre</w:t>
      </w:r>
      <w:proofErr w:type="spellEnd"/>
      <w:r w:rsidRPr="00776193">
        <w:rPr>
          <w:rFonts w:ascii="Arial" w:eastAsia="Times New Roman" w:hAnsi="Arial" w:cs="Arial"/>
          <w:sz w:val="23"/>
          <w:szCs w:val="23"/>
          <w:lang w:eastAsia="fr-FR"/>
        </w:rPr>
        <w:t xml:space="preserve">, que l'on dit proche de Charles </w:t>
      </w:r>
      <w:proofErr w:type="spellStart"/>
      <w:r w:rsidRPr="00776193">
        <w:rPr>
          <w:rFonts w:ascii="Arial" w:eastAsia="Times New Roman" w:hAnsi="Arial" w:cs="Arial"/>
          <w:sz w:val="23"/>
          <w:szCs w:val="23"/>
          <w:lang w:eastAsia="fr-FR"/>
        </w:rPr>
        <w:t>Ceccaldi</w:t>
      </w:r>
      <w:proofErr w:type="spellEnd"/>
      <w:r w:rsidRPr="00776193">
        <w:rPr>
          <w:rFonts w:ascii="Arial" w:eastAsia="Times New Roman" w:hAnsi="Arial" w:cs="Arial"/>
          <w:sz w:val="23"/>
          <w:szCs w:val="23"/>
          <w:lang w:eastAsia="fr-FR"/>
        </w:rPr>
        <w:t xml:space="preserve">-Raynaud, et Laurent Gimel, actionnaires à 50 % de </w:t>
      </w:r>
      <w:proofErr w:type="spellStart"/>
      <w:r w:rsidRPr="00776193">
        <w:rPr>
          <w:rFonts w:ascii="Arial" w:eastAsia="Times New Roman" w:hAnsi="Arial" w:cs="Arial"/>
          <w:sz w:val="23"/>
          <w:szCs w:val="23"/>
          <w:lang w:eastAsia="fr-FR"/>
        </w:rPr>
        <w:t>Climadef</w:t>
      </w:r>
      <w:proofErr w:type="spellEnd"/>
      <w:r w:rsidRPr="00776193">
        <w:rPr>
          <w:rFonts w:ascii="Arial" w:eastAsia="Times New Roman" w:hAnsi="Arial" w:cs="Arial"/>
          <w:sz w:val="23"/>
          <w:szCs w:val="23"/>
          <w:lang w:eastAsia="fr-FR"/>
        </w:rPr>
        <w:t xml:space="preserve">, à présenter un autre projet. </w:t>
      </w:r>
    </w:p>
    <w:p w:rsidR="00776193" w:rsidRPr="00776193" w:rsidRDefault="00776193" w:rsidP="00776193">
      <w:pPr>
        <w:spacing w:after="84" w:line="335" w:lineRule="atLeast"/>
        <w:jc w:val="both"/>
        <w:rPr>
          <w:rFonts w:ascii="Arial" w:eastAsia="Times New Roman" w:hAnsi="Arial" w:cs="Arial"/>
          <w:sz w:val="23"/>
          <w:szCs w:val="23"/>
          <w:lang w:eastAsia="fr-FR"/>
        </w:rPr>
      </w:pPr>
      <w:r w:rsidRPr="00776193">
        <w:rPr>
          <w:rFonts w:ascii="Arial" w:eastAsia="Times New Roman" w:hAnsi="Arial" w:cs="Arial"/>
          <w:sz w:val="23"/>
          <w:szCs w:val="23"/>
          <w:lang w:eastAsia="fr-FR"/>
        </w:rPr>
        <w:t xml:space="preserve">Avant la signature du contrat, Bernard </w:t>
      </w:r>
      <w:proofErr w:type="spellStart"/>
      <w:r w:rsidRPr="00776193">
        <w:rPr>
          <w:rFonts w:ascii="Arial" w:eastAsia="Times New Roman" w:hAnsi="Arial" w:cs="Arial"/>
          <w:sz w:val="23"/>
          <w:szCs w:val="23"/>
          <w:lang w:eastAsia="fr-FR"/>
        </w:rPr>
        <w:t>Forterre</w:t>
      </w:r>
      <w:proofErr w:type="spellEnd"/>
      <w:r w:rsidRPr="00776193">
        <w:rPr>
          <w:rFonts w:ascii="Arial" w:eastAsia="Times New Roman" w:hAnsi="Arial" w:cs="Arial"/>
          <w:sz w:val="23"/>
          <w:szCs w:val="23"/>
          <w:lang w:eastAsia="fr-FR"/>
        </w:rPr>
        <w:t xml:space="preserve"> ne semble pas exclure que certains candidats puissent effectuer des recours. Quelques curiosités de procédure étonneraient encore certains impétrants, comme l'absence de « grand oral ». La DGCCRF (Direction générale de la concurrence, de la consommation et de la répression des fraudes) semble également s'intéresser à ce dossier. </w:t>
      </w:r>
    </w:p>
    <w:p w:rsidR="00776193" w:rsidRPr="00776193" w:rsidRDefault="00776193" w:rsidP="00776193">
      <w:pPr>
        <w:spacing w:after="0" w:line="240" w:lineRule="auto"/>
        <w:rPr>
          <w:rFonts w:ascii="Arial" w:eastAsia="Times New Roman" w:hAnsi="Arial" w:cs="Arial"/>
          <w:sz w:val="20"/>
          <w:szCs w:val="20"/>
          <w:lang w:eastAsia="fr-FR"/>
        </w:rPr>
      </w:pPr>
    </w:p>
    <w:p w:rsidR="00776193" w:rsidRPr="00776193" w:rsidRDefault="00776193" w:rsidP="00776193">
      <w:pPr>
        <w:spacing w:after="167" w:line="335" w:lineRule="atLeast"/>
        <w:outlineLvl w:val="5"/>
        <w:rPr>
          <w:rFonts w:ascii="Arial" w:eastAsia="Times New Roman" w:hAnsi="Arial" w:cs="Arial"/>
          <w:b/>
          <w:bCs/>
          <w:sz w:val="20"/>
          <w:szCs w:val="20"/>
          <w:lang w:eastAsia="fr-FR"/>
        </w:rPr>
      </w:pPr>
      <w:r w:rsidRPr="00776193">
        <w:rPr>
          <w:rFonts w:ascii="Arial" w:eastAsia="Times New Roman" w:hAnsi="Arial" w:cs="Arial"/>
          <w:b/>
          <w:bCs/>
          <w:sz w:val="20"/>
          <w:szCs w:val="20"/>
          <w:lang w:eastAsia="fr-FR"/>
        </w:rPr>
        <w:lastRenderedPageBreak/>
        <w:t xml:space="preserve">RENAUD CZARNES </w:t>
      </w:r>
    </w:p>
    <w:p w:rsidR="00143A9E" w:rsidRDefault="00D42C48"/>
    <w:sectPr w:rsidR="00143A9E" w:rsidSect="001E0E2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776193"/>
    <w:rsid w:val="001E0E27"/>
    <w:rsid w:val="00655F59"/>
    <w:rsid w:val="00776193"/>
    <w:rsid w:val="00C13DC8"/>
    <w:rsid w:val="00D42C4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E2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ate1">
    <w:name w:val="date1"/>
    <w:basedOn w:val="Policepardfaut"/>
    <w:rsid w:val="00776193"/>
    <w:rPr>
      <w:b w:val="0"/>
      <w:bCs w:val="0"/>
      <w:color w:val="777777"/>
      <w:sz w:val="18"/>
      <w:szCs w:val="18"/>
    </w:rPr>
  </w:style>
</w:styles>
</file>

<file path=word/webSettings.xml><?xml version="1.0" encoding="utf-8"?>
<w:webSettings xmlns:r="http://schemas.openxmlformats.org/officeDocument/2006/relationships" xmlns:w="http://schemas.openxmlformats.org/wordprocessingml/2006/main">
  <w:divs>
    <w:div w:id="2086799787">
      <w:bodyDiv w:val="1"/>
      <w:marLeft w:val="0"/>
      <w:marRight w:val="0"/>
      <w:marTop w:val="0"/>
      <w:marBottom w:val="0"/>
      <w:divBdr>
        <w:top w:val="none" w:sz="0" w:space="0" w:color="auto"/>
        <w:left w:val="none" w:sz="0" w:space="0" w:color="auto"/>
        <w:bottom w:val="none" w:sz="0" w:space="0" w:color="auto"/>
        <w:right w:val="none" w:sz="0" w:space="0" w:color="auto"/>
      </w:divBdr>
      <w:divsChild>
        <w:div w:id="1783963296">
          <w:marLeft w:val="0"/>
          <w:marRight w:val="0"/>
          <w:marTop w:val="0"/>
          <w:marBottom w:val="0"/>
          <w:divBdr>
            <w:top w:val="none" w:sz="0" w:space="0" w:color="auto"/>
            <w:left w:val="none" w:sz="0" w:space="0" w:color="auto"/>
            <w:bottom w:val="none" w:sz="0" w:space="0" w:color="auto"/>
            <w:right w:val="none" w:sz="0" w:space="0" w:color="auto"/>
          </w:divBdr>
          <w:divsChild>
            <w:div w:id="28529292">
              <w:marLeft w:val="0"/>
              <w:marRight w:val="0"/>
              <w:marTop w:val="0"/>
              <w:marBottom w:val="0"/>
              <w:divBdr>
                <w:top w:val="none" w:sz="0" w:space="0" w:color="auto"/>
                <w:left w:val="none" w:sz="0" w:space="0" w:color="auto"/>
                <w:bottom w:val="none" w:sz="0" w:space="0" w:color="auto"/>
                <w:right w:val="none" w:sz="0" w:space="0" w:color="auto"/>
              </w:divBdr>
              <w:divsChild>
                <w:div w:id="124737145">
                  <w:marLeft w:val="0"/>
                  <w:marRight w:val="0"/>
                  <w:marTop w:val="0"/>
                  <w:marBottom w:val="0"/>
                  <w:divBdr>
                    <w:top w:val="none" w:sz="0" w:space="0" w:color="auto"/>
                    <w:left w:val="none" w:sz="0" w:space="0" w:color="auto"/>
                    <w:bottom w:val="none" w:sz="0" w:space="0" w:color="auto"/>
                    <w:right w:val="none" w:sz="0" w:space="0" w:color="auto"/>
                  </w:divBdr>
                  <w:divsChild>
                    <w:div w:id="1447001394">
                      <w:marLeft w:val="0"/>
                      <w:marRight w:val="0"/>
                      <w:marTop w:val="0"/>
                      <w:marBottom w:val="0"/>
                      <w:divBdr>
                        <w:top w:val="none" w:sz="0" w:space="0" w:color="auto"/>
                        <w:left w:val="single" w:sz="12" w:space="0" w:color="DDDDDD"/>
                        <w:bottom w:val="single" w:sz="12" w:space="0" w:color="DDDDDD"/>
                        <w:right w:val="single" w:sz="12" w:space="0" w:color="DDDDDD"/>
                      </w:divBdr>
                      <w:divsChild>
                        <w:div w:id="473907687">
                          <w:marLeft w:val="0"/>
                          <w:marRight w:val="0"/>
                          <w:marTop w:val="0"/>
                          <w:marBottom w:val="0"/>
                          <w:divBdr>
                            <w:top w:val="none" w:sz="0" w:space="0" w:color="auto"/>
                            <w:left w:val="none" w:sz="0" w:space="0" w:color="auto"/>
                            <w:bottom w:val="none" w:sz="0" w:space="0" w:color="auto"/>
                            <w:right w:val="none" w:sz="0" w:space="0" w:color="auto"/>
                          </w:divBdr>
                          <w:divsChild>
                            <w:div w:id="330068951">
                              <w:marLeft w:val="0"/>
                              <w:marRight w:val="0"/>
                              <w:marTop w:val="0"/>
                              <w:marBottom w:val="0"/>
                              <w:divBdr>
                                <w:top w:val="none" w:sz="0" w:space="0" w:color="auto"/>
                                <w:left w:val="none" w:sz="0" w:space="0" w:color="auto"/>
                                <w:bottom w:val="none" w:sz="0" w:space="0" w:color="auto"/>
                                <w:right w:val="none" w:sz="0" w:space="0" w:color="auto"/>
                              </w:divBdr>
                              <w:divsChild>
                                <w:div w:id="1079211020">
                                  <w:marLeft w:val="0"/>
                                  <w:marRight w:val="0"/>
                                  <w:marTop w:val="0"/>
                                  <w:marBottom w:val="84"/>
                                  <w:divBdr>
                                    <w:top w:val="none" w:sz="0" w:space="0" w:color="auto"/>
                                    <w:left w:val="none" w:sz="0" w:space="0" w:color="auto"/>
                                    <w:bottom w:val="none" w:sz="0" w:space="0" w:color="auto"/>
                                    <w:right w:val="none" w:sz="0" w:space="0" w:color="auto"/>
                                  </w:divBdr>
                                </w:div>
                                <w:div w:id="482352663">
                                  <w:marLeft w:val="0"/>
                                  <w:marRight w:val="0"/>
                                  <w:marTop w:val="0"/>
                                  <w:marBottom w:val="84"/>
                                  <w:divBdr>
                                    <w:top w:val="none" w:sz="0" w:space="0" w:color="auto"/>
                                    <w:left w:val="none" w:sz="0" w:space="0" w:color="auto"/>
                                    <w:bottom w:val="none" w:sz="0" w:space="0" w:color="auto"/>
                                    <w:right w:val="none" w:sz="0" w:space="0" w:color="auto"/>
                                  </w:divBdr>
                                </w:div>
                                <w:div w:id="1866677557">
                                  <w:marLeft w:val="0"/>
                                  <w:marRight w:val="0"/>
                                  <w:marTop w:val="84"/>
                                  <w:marBottom w:val="84"/>
                                  <w:divBdr>
                                    <w:top w:val="none" w:sz="0" w:space="0" w:color="auto"/>
                                    <w:left w:val="none" w:sz="0" w:space="0" w:color="auto"/>
                                    <w:bottom w:val="none" w:sz="0" w:space="0" w:color="auto"/>
                                    <w:right w:val="none" w:sz="0" w:space="0" w:color="auto"/>
                                  </w:divBdr>
                                </w:div>
                                <w:div w:id="683678560">
                                  <w:marLeft w:val="0"/>
                                  <w:marRight w:val="0"/>
                                  <w:marTop w:val="84"/>
                                  <w:marBottom w:val="84"/>
                                  <w:divBdr>
                                    <w:top w:val="none" w:sz="0" w:space="0" w:color="auto"/>
                                    <w:left w:val="none" w:sz="0" w:space="0" w:color="auto"/>
                                    <w:bottom w:val="none" w:sz="0" w:space="0" w:color="auto"/>
                                    <w:right w:val="none" w:sz="0" w:space="0" w:color="auto"/>
                                  </w:divBdr>
                                </w:div>
                                <w:div w:id="1410538645">
                                  <w:marLeft w:val="0"/>
                                  <w:marRight w:val="0"/>
                                  <w:marTop w:val="84"/>
                                  <w:marBottom w:val="84"/>
                                  <w:divBdr>
                                    <w:top w:val="none" w:sz="0" w:space="0" w:color="auto"/>
                                    <w:left w:val="none" w:sz="0" w:space="0" w:color="auto"/>
                                    <w:bottom w:val="none" w:sz="0" w:space="0" w:color="auto"/>
                                    <w:right w:val="none" w:sz="0" w:space="0" w:color="auto"/>
                                  </w:divBdr>
                                </w:div>
                                <w:div w:id="226572797">
                                  <w:marLeft w:val="0"/>
                                  <w:marRight w:val="0"/>
                                  <w:marTop w:val="84"/>
                                  <w:marBottom w:val="84"/>
                                  <w:divBdr>
                                    <w:top w:val="none" w:sz="0" w:space="0" w:color="auto"/>
                                    <w:left w:val="none" w:sz="0" w:space="0" w:color="auto"/>
                                    <w:bottom w:val="none" w:sz="0" w:space="0" w:color="auto"/>
                                    <w:right w:val="none" w:sz="0" w:space="0" w:color="auto"/>
                                  </w:divBdr>
                                </w:div>
                                <w:div w:id="685595515">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2281</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2</cp:revision>
  <dcterms:created xsi:type="dcterms:W3CDTF">2010-06-07T07:05:00Z</dcterms:created>
  <dcterms:modified xsi:type="dcterms:W3CDTF">2010-06-07T07:05:00Z</dcterms:modified>
</cp:coreProperties>
</file>