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B4" w:rsidRDefault="00287D97" w:rsidP="00287D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Charles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Ceccaldi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-Raynaud est poursuivi pour favoritisme et corruption passive dans l’affaire du renouvellement du contrat de chauffage de la Défense.</w:t>
      </w:r>
    </w:p>
    <w:p w:rsidR="00287D97" w:rsidRPr="00287D97" w:rsidRDefault="00287D97" w:rsidP="00287D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  <w:t xml:space="preserve">Par Renaud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Lecadre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Libération, QUOTIDIEN : mardi 14 août 2007, p. 10 </w:t>
      </w:r>
    </w:p>
    <w:p w:rsidR="00287D97" w:rsidRPr="00287D97" w:rsidRDefault="00287D97" w:rsidP="00287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Une nouvelle affaire pénale menace le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Sarkoland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le département des Hauts-de-Seine, présidé par l’actuel locataire de l’Elysée d’avril 2004 jusqu’à sa récente élection à la présidence de la République (1). </w:t>
      </w:r>
    </w:p>
    <w:p w:rsidR="00287D97" w:rsidRPr="00287D97" w:rsidRDefault="00287D97" w:rsidP="00287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Elle vise son ancien suppléant à l’Assemblée nationale, Charles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Ceccaldi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-Raynaud, qui a récemment transmis ses mandats de député-maire de Puteaux à sa fille, Joëlle. </w:t>
      </w:r>
    </w:p>
    <w:p w:rsidR="00287D97" w:rsidRPr="00287D97" w:rsidRDefault="00287D97" w:rsidP="00287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Ceccaldi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-Raynaud père, 79 ans, inamovible élu UMP du 9-2 depuis 1969, réfugié au Sénat puis au conseil général, a été mis en examen fin juillet par un juge d’instruction de Nanterre, Richard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Pallain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pour favoritisme et corruption passive. </w:t>
      </w:r>
    </w:p>
    <w:p w:rsidR="00287D97" w:rsidRPr="00287D97" w:rsidRDefault="00287D97" w:rsidP="00287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présumés corrupteurs actifs sont soupçonnés d’avoir versé une commission de 750 000 euros au Luxembourg, à l’occasion du renouvellement du contrat de chauffage de La Défense, 3 millions de m2 de bureaux près de Paris. </w:t>
      </w:r>
    </w:p>
    <w:p w:rsidR="00287D97" w:rsidRPr="00287D97" w:rsidRDefault="00287D97" w:rsidP="00287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 chauffage et la climatisation du premier quartier d’affaires en Europe était assuré à l’origine par une filiale de Charbonnages de France (CDF),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Climadef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. CDF devant liquider tous ses actifs en parallèle à l’extinction programmée de ses mines de charbon,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Climadef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était mise en vente en 2001, concomitamment à la fin de sa concession à La Défense. </w:t>
      </w:r>
    </w:p>
    <w:p w:rsidR="00287D97" w:rsidRPr="00287D97" w:rsidRDefault="00287D97" w:rsidP="00287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Une étonnante équipe se constitue pour récupérer le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bébé:Bernard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Forterre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ancien n°3 de Vivendi viré par Jean-Marie Messier; Jean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Bonnefont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président de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Climadef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rétif à la retraite; Laurent Gimel, intermédiaire en Asie de Lagardère et Dassault. </w:t>
      </w: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  <w:t xml:space="preserve">Le tout financé en coulisse par Alain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Afflelou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et un promoteur passé au football, Alain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Pedretti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. </w:t>
      </w:r>
    </w:p>
    <w:p w:rsidR="00143A9E" w:rsidRPr="00287D97" w:rsidRDefault="00287D97" w:rsidP="00287D97"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Cette équipée baroque fait coup double : elle concourt sous la bannière d’une société,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Enertherm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constituée à cet effet, puis rachète la société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Climadef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candidate à sa propre reconduction. </w:t>
      </w:r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  <w:t xml:space="preserve">Cette double casquette ne semble déranger personne, à ce détail près :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Climadef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concessionnaire sortant, avait mis de côté une provision de 15 millions d’euros pour remettre en état l’usine de chauffage. </w:t>
      </w:r>
      <w:proofErr w:type="spellStart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Enertherm</w:t>
      </w:r>
      <w:proofErr w:type="spellEnd"/>
      <w:r w:rsidRPr="00287D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étant désigné lauréat à suite d’un appel d’offres, la cagnotte est acquise à ses repreneurs.</w:t>
      </w:r>
    </w:p>
    <w:sectPr w:rsidR="00143A9E" w:rsidRPr="00287D97" w:rsidSect="00B96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87D97"/>
    <w:rsid w:val="00287D97"/>
    <w:rsid w:val="003B62C3"/>
    <w:rsid w:val="00655F59"/>
    <w:rsid w:val="006A31B4"/>
    <w:rsid w:val="00B96765"/>
    <w:rsid w:val="00C1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FFFF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2010-06-07T21:55:00Z</dcterms:created>
  <dcterms:modified xsi:type="dcterms:W3CDTF">2010-06-10T19:42:00Z</dcterms:modified>
</cp:coreProperties>
</file>